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EBE3" w14:textId="3006118B" w:rsidR="00541CF2" w:rsidRPr="00AB0438" w:rsidRDefault="00541CF2">
      <w:pPr>
        <w:spacing w:after="120"/>
        <w:rPr>
          <w:b/>
          <w:szCs w:val="22"/>
        </w:rPr>
      </w:pPr>
      <w:r w:rsidRPr="00AB0438">
        <w:rPr>
          <w:b/>
          <w:szCs w:val="22"/>
        </w:rPr>
        <w:t>Presseinformation</w:t>
      </w:r>
      <w:r w:rsidR="0055176E" w:rsidRPr="00AB0438">
        <w:rPr>
          <w:b/>
          <w:szCs w:val="22"/>
        </w:rPr>
        <w:t xml:space="preserve"> </w:t>
      </w:r>
      <w:r w:rsidR="00AB001D" w:rsidRPr="00AB0438">
        <w:rPr>
          <w:b/>
          <w:szCs w:val="22"/>
        </w:rPr>
        <w:t>–</w:t>
      </w:r>
      <w:r w:rsidR="00F70D6A" w:rsidRPr="00AB0438">
        <w:rPr>
          <w:b/>
          <w:szCs w:val="22"/>
        </w:rPr>
        <w:t xml:space="preserve"> </w:t>
      </w:r>
      <w:r w:rsidR="00AB0438" w:rsidRPr="00AB0438">
        <w:rPr>
          <w:b/>
          <w:szCs w:val="22"/>
        </w:rPr>
        <w:t>Fachbeitrag Fö</w:t>
      </w:r>
      <w:r w:rsidR="00AB0438">
        <w:rPr>
          <w:b/>
          <w:szCs w:val="22"/>
        </w:rPr>
        <w:t>rdermöglichkeiten</w:t>
      </w:r>
    </w:p>
    <w:p w14:paraId="1F772541" w14:textId="12A9E1B6" w:rsidR="00F34A6F" w:rsidRPr="00AB0438" w:rsidRDefault="00AB0438" w:rsidP="00F34A6F">
      <w:pPr>
        <w:spacing w:after="120"/>
        <w:rPr>
          <w:b/>
          <w:sz w:val="32"/>
          <w:szCs w:val="32"/>
        </w:rPr>
      </w:pPr>
      <w:r>
        <w:rPr>
          <w:b/>
          <w:sz w:val="32"/>
          <w:szCs w:val="32"/>
        </w:rPr>
        <w:t>Kunden Fördermöglichkeiten aufzeigen und Zusatzgeschäft generieren</w:t>
      </w:r>
    </w:p>
    <w:p w14:paraId="38DD0259" w14:textId="58F50EAC" w:rsidR="00F34A6F" w:rsidRDefault="00AB0438" w:rsidP="00F34A6F">
      <w:pPr>
        <w:spacing w:after="120"/>
        <w:rPr>
          <w:b/>
          <w:szCs w:val="22"/>
        </w:rPr>
      </w:pPr>
      <w:r>
        <w:rPr>
          <w:b/>
          <w:szCs w:val="22"/>
        </w:rPr>
        <w:t xml:space="preserve">Staatliche Unterstützung </w:t>
      </w:r>
      <w:r w:rsidR="00093661">
        <w:rPr>
          <w:b/>
          <w:szCs w:val="22"/>
        </w:rPr>
        <w:t xml:space="preserve">für Dachfensteraustausch </w:t>
      </w:r>
      <w:r>
        <w:rPr>
          <w:b/>
          <w:szCs w:val="22"/>
        </w:rPr>
        <w:t xml:space="preserve">ermöglicht höherwertigen </w:t>
      </w:r>
      <w:r w:rsidR="00093661">
        <w:rPr>
          <w:b/>
          <w:szCs w:val="22"/>
        </w:rPr>
        <w:t>V</w:t>
      </w:r>
      <w:r>
        <w:rPr>
          <w:b/>
          <w:szCs w:val="22"/>
        </w:rPr>
        <w:t>erkauf</w:t>
      </w:r>
    </w:p>
    <w:p w14:paraId="1F72D66B" w14:textId="20C5139E" w:rsidR="00044EB4" w:rsidRPr="009808EC" w:rsidRDefault="00F34A6F" w:rsidP="00D4788B">
      <w:pPr>
        <w:spacing w:after="120"/>
        <w:rPr>
          <w:b/>
          <w:bCs/>
        </w:rPr>
      </w:pPr>
      <w:r>
        <w:rPr>
          <w:b/>
          <w:bCs/>
        </w:rPr>
        <w:t xml:space="preserve">Hamburg, </w:t>
      </w:r>
      <w:r w:rsidR="00C7217B">
        <w:rPr>
          <w:b/>
          <w:bCs/>
        </w:rPr>
        <w:t>Febr</w:t>
      </w:r>
      <w:r w:rsidR="00257479">
        <w:rPr>
          <w:b/>
          <w:bCs/>
        </w:rPr>
        <w:t>uar 2022</w:t>
      </w:r>
      <w:r>
        <w:rPr>
          <w:b/>
          <w:bCs/>
        </w:rPr>
        <w:t xml:space="preserve">. </w:t>
      </w:r>
      <w:r w:rsidR="009808EC" w:rsidRPr="009808EC">
        <w:rPr>
          <w:b/>
          <w:bCs/>
        </w:rPr>
        <w:t>Ende Januar</w:t>
      </w:r>
      <w:r w:rsidR="00C7217B" w:rsidRPr="009808EC">
        <w:rPr>
          <w:b/>
          <w:bCs/>
        </w:rPr>
        <w:t xml:space="preserve"> sorgte die Bundesregierung mit einem Stopp der Fördermittel für energieeffizientes Bauen für Aufsehen. Doch betraf dies </w:t>
      </w:r>
      <w:r w:rsidR="009808EC" w:rsidRPr="009808EC">
        <w:rPr>
          <w:b/>
          <w:bCs/>
        </w:rPr>
        <w:t xml:space="preserve">in erster Linie </w:t>
      </w:r>
      <w:r w:rsidR="00C7217B" w:rsidRPr="009808EC">
        <w:rPr>
          <w:b/>
          <w:bCs/>
        </w:rPr>
        <w:t xml:space="preserve">die Unterstützung im Bereich des Neubaus. Für </w:t>
      </w:r>
      <w:r w:rsidR="00441ACA" w:rsidRPr="009808EC">
        <w:rPr>
          <w:b/>
          <w:bCs/>
        </w:rPr>
        <w:t xml:space="preserve">die </w:t>
      </w:r>
      <w:r w:rsidR="00D06EB5" w:rsidRPr="009808EC">
        <w:rPr>
          <w:b/>
          <w:bCs/>
        </w:rPr>
        <w:t xml:space="preserve">energetische Sanierung </w:t>
      </w:r>
      <w:r w:rsidR="00D4788B" w:rsidRPr="009808EC">
        <w:rPr>
          <w:b/>
          <w:bCs/>
        </w:rPr>
        <w:t xml:space="preserve">und damit auch den Austausch alter Dachfenster </w:t>
      </w:r>
      <w:r w:rsidR="00C7217B" w:rsidRPr="009808EC">
        <w:rPr>
          <w:b/>
          <w:bCs/>
        </w:rPr>
        <w:t xml:space="preserve">stehen weiter Mittel </w:t>
      </w:r>
      <w:r w:rsidR="00D4788B" w:rsidRPr="009808EC">
        <w:rPr>
          <w:b/>
          <w:bCs/>
        </w:rPr>
        <w:t>bereit</w:t>
      </w:r>
      <w:r w:rsidR="009808EC" w:rsidRPr="009808EC">
        <w:rPr>
          <w:b/>
          <w:bCs/>
        </w:rPr>
        <w:t xml:space="preserve"> – die Förderung von Einzelmaßnahmen war überhaupt nicht betroffen</w:t>
      </w:r>
      <w:r w:rsidR="00D4788B" w:rsidRPr="009808EC">
        <w:rPr>
          <w:b/>
          <w:bCs/>
        </w:rPr>
        <w:t>.</w:t>
      </w:r>
      <w:r w:rsidR="00D4788B">
        <w:rPr>
          <w:b/>
          <w:bCs/>
        </w:rPr>
        <w:t xml:space="preserve"> </w:t>
      </w:r>
      <w:r w:rsidR="00B66781">
        <w:rPr>
          <w:b/>
          <w:bCs/>
        </w:rPr>
        <w:t>Doch wie kommen Menschen, die ihr Eigenheim sanieren wollen, in den Genuss der finanziellen Beihilfen</w:t>
      </w:r>
      <w:r w:rsidR="00A56368">
        <w:rPr>
          <w:b/>
          <w:bCs/>
        </w:rPr>
        <w:t>?</w:t>
      </w:r>
      <w:r w:rsidR="00B66781">
        <w:rPr>
          <w:b/>
          <w:bCs/>
        </w:rPr>
        <w:t xml:space="preserve"> Bei der konkreten Beantragung der Fördermittel wird es vielen zu kompliziert, gerade auch angesichts der Tatsache, dass es 2021 wieder einige </w:t>
      </w:r>
      <w:r w:rsidR="00A56368">
        <w:rPr>
          <w:b/>
          <w:bCs/>
        </w:rPr>
        <w:t>Verä</w:t>
      </w:r>
      <w:r w:rsidR="00B66781">
        <w:rPr>
          <w:b/>
          <w:bCs/>
        </w:rPr>
        <w:t xml:space="preserve">nderungen </w:t>
      </w:r>
      <w:r w:rsidR="00A56368">
        <w:rPr>
          <w:b/>
          <w:bCs/>
        </w:rPr>
        <w:t>gab</w:t>
      </w:r>
      <w:r w:rsidR="00B66781">
        <w:rPr>
          <w:b/>
          <w:bCs/>
        </w:rPr>
        <w:t>. Auch für Dachhandwerks</w:t>
      </w:r>
      <w:r w:rsidR="00044EB4">
        <w:rPr>
          <w:b/>
          <w:bCs/>
        </w:rPr>
        <w:t xml:space="preserve">betriebe lohnt es, sich mit dem Thema auseinanderzusetzen: Können sie ihren Kunden entsprechende Hilfestellung geben, steigt die Wahrscheinlichkeit, </w:t>
      </w:r>
      <w:r w:rsidR="00A56368">
        <w:rPr>
          <w:b/>
          <w:bCs/>
        </w:rPr>
        <w:t xml:space="preserve">sowohl </w:t>
      </w:r>
      <w:r w:rsidR="00044EB4">
        <w:rPr>
          <w:b/>
          <w:bCs/>
        </w:rPr>
        <w:t xml:space="preserve">höherwertige </w:t>
      </w:r>
      <w:r w:rsidR="00A56368">
        <w:rPr>
          <w:b/>
          <w:bCs/>
        </w:rPr>
        <w:t xml:space="preserve">als </w:t>
      </w:r>
      <w:r w:rsidR="00044EB4">
        <w:rPr>
          <w:b/>
          <w:bCs/>
        </w:rPr>
        <w:t xml:space="preserve">auch mehr Dachfenster zu verkaufen und so </w:t>
      </w:r>
      <w:r w:rsidR="00390E10">
        <w:rPr>
          <w:b/>
          <w:bCs/>
        </w:rPr>
        <w:t>zusätzliche Einnahmen</w:t>
      </w:r>
      <w:r w:rsidR="00044EB4">
        <w:rPr>
          <w:b/>
          <w:bCs/>
        </w:rPr>
        <w:t xml:space="preserve"> zu generieren. </w:t>
      </w:r>
      <w:r w:rsidR="00FD1069">
        <w:rPr>
          <w:b/>
          <w:bCs/>
        </w:rPr>
        <w:t xml:space="preserve">Das Beste dabei: Den Bauherren entstehen dadurch </w:t>
      </w:r>
      <w:r w:rsidR="00FE1BE8">
        <w:rPr>
          <w:b/>
          <w:bCs/>
        </w:rPr>
        <w:t xml:space="preserve">in einigen Fällen </w:t>
      </w:r>
      <w:r w:rsidR="00FD1069">
        <w:rPr>
          <w:b/>
          <w:bCs/>
        </w:rPr>
        <w:t>keine höheren Kosten und durch das energieeffizientere Bauen wird auch noch ein Beitrag zum Klimaschutz geleistet.</w:t>
      </w:r>
    </w:p>
    <w:p w14:paraId="4BB6E810" w14:textId="28B47BCE" w:rsidR="00E723C9" w:rsidRDefault="005B6303" w:rsidP="00F34A6F">
      <w:r>
        <w:t>Das bekannteste staatliche Förderprogramm ist die steuerliche Förderung gemäß Einkommensteuergesetz (EstG). Dabei erhalten Eigentümer von Wohngebäuden 20 Prozent der Kosten</w:t>
      </w:r>
      <w:r w:rsidR="006220A7">
        <w:t xml:space="preserve"> für</w:t>
      </w:r>
      <w:r>
        <w:t xml:space="preserve"> </w:t>
      </w:r>
      <w:r w:rsidR="006220A7" w:rsidRPr="006220A7">
        <w:t>Produkt- und Handwerkerleistung</w:t>
      </w:r>
      <w:r w:rsidR="006220A7">
        <w:t xml:space="preserve"> im Nachhinein über ihre Steuererklärung zurück. Es ist kein Mindestbetrag erforderlich, das Gebäude muss nur mindestens zehn Jahre alt sein</w:t>
      </w:r>
      <w:r w:rsidR="00E723C9">
        <w:t xml:space="preserve">. Um die Kosten für neue Dachfenster geltend machen zu können, müssen diese </w:t>
      </w:r>
      <w:r w:rsidR="00541FB5">
        <w:t>nach der E</w:t>
      </w:r>
      <w:r w:rsidR="00541FB5" w:rsidRPr="00541FB5">
        <w:t xml:space="preserve">nergetische Sanierungsmaßnahmen-Verordnung </w:t>
      </w:r>
      <w:r w:rsidR="00541FB5">
        <w:t>(</w:t>
      </w:r>
      <w:proofErr w:type="spellStart"/>
      <w:r w:rsidR="00541FB5" w:rsidRPr="00541FB5">
        <w:t>ESanMV</w:t>
      </w:r>
      <w:proofErr w:type="spellEnd"/>
      <w:r w:rsidR="00541FB5">
        <w:t>)</w:t>
      </w:r>
      <w:r w:rsidR="00541FB5" w:rsidRPr="00541FB5">
        <w:t xml:space="preserve"> </w:t>
      </w:r>
      <w:r w:rsidR="00E723C9" w:rsidRPr="00E723C9">
        <w:t>eine</w:t>
      </w:r>
      <w:r w:rsidR="00E723C9">
        <w:t>n</w:t>
      </w:r>
      <w:r w:rsidR="00E723C9" w:rsidRPr="00E723C9">
        <w:t xml:space="preserve"> Wärmedämmwert von U</w:t>
      </w:r>
      <w:r w:rsidR="00E723C9" w:rsidRPr="00E723C9">
        <w:rPr>
          <w:vertAlign w:val="subscript"/>
        </w:rPr>
        <w:t>w</w:t>
      </w:r>
      <w:r w:rsidR="00E723C9" w:rsidRPr="00E723C9">
        <w:t xml:space="preserve"> = 1,0 W/(m²K) oder niedriger</w:t>
      </w:r>
      <w:r w:rsidR="006220A7" w:rsidRPr="006220A7">
        <w:t xml:space="preserve"> </w:t>
      </w:r>
      <w:r w:rsidR="00541FB5">
        <w:t>haben</w:t>
      </w:r>
      <w:r w:rsidR="00E723C9">
        <w:t xml:space="preserve">. </w:t>
      </w:r>
      <w:r w:rsidR="005E1D1C" w:rsidRPr="005E1D1C">
        <w:t>Die Summe wird in der Steuererklärung über drei Jahre jeweils anteilig geltend gemacht</w:t>
      </w:r>
      <w:r w:rsidR="00280B22">
        <w:t xml:space="preserve"> und verringert so das zu versteuernde Einkommen</w:t>
      </w:r>
      <w:r w:rsidR="005E1D1C" w:rsidRPr="005E1D1C">
        <w:t xml:space="preserve">. Bedingung ist, </w:t>
      </w:r>
      <w:r w:rsidR="005E1D1C" w:rsidRPr="005E1D1C">
        <w:lastRenderedPageBreak/>
        <w:t>dass die Bauherren sich vom durchführenden Fachunternehmen eine Bestätigung der Sanierung in Form der sogenannten Fachunternehmererklärung ausstellen lassen.</w:t>
      </w:r>
    </w:p>
    <w:p w14:paraId="126F39E8" w14:textId="77777777" w:rsidR="00E723C9" w:rsidRDefault="00E723C9" w:rsidP="00F34A6F"/>
    <w:p w14:paraId="695C7A06" w14:textId="2F799CF4" w:rsidR="0027672F" w:rsidRDefault="00E723C9" w:rsidP="00F34A6F">
      <w:r>
        <w:t xml:space="preserve">Daneben gibt </w:t>
      </w:r>
      <w:r w:rsidR="005452EE">
        <w:t xml:space="preserve">es </w:t>
      </w:r>
      <w:r>
        <w:t xml:space="preserve">zwei weitere </w:t>
      </w:r>
      <w:r w:rsidR="008A1090">
        <w:t>Arten</w:t>
      </w:r>
      <w:r w:rsidR="00B63425">
        <w:t xml:space="preserve"> der staatlichen Förderung: Einerseits Zuschüsse, andererseits </w:t>
      </w:r>
      <w:r w:rsidR="008C290B">
        <w:t xml:space="preserve">zinsgünstige </w:t>
      </w:r>
      <w:r w:rsidR="00B63425">
        <w:t>Kredite</w:t>
      </w:r>
      <w:r w:rsidR="008A1090">
        <w:t xml:space="preserve"> inkl. Tilgungszuschuss</w:t>
      </w:r>
      <w:r w:rsidR="00B63425">
        <w:t xml:space="preserve">. </w:t>
      </w:r>
      <w:r w:rsidR="00234B1F">
        <w:t xml:space="preserve">Vergeben werden sie auf Bundesebene von den Instituten </w:t>
      </w:r>
      <w:r w:rsidR="00234B1F" w:rsidRPr="00234B1F">
        <w:t>Kreditanstalt für Wiederaufbau (KfW)</w:t>
      </w:r>
      <w:r w:rsidR="00234B1F">
        <w:t xml:space="preserve"> und </w:t>
      </w:r>
      <w:r w:rsidR="00234B1F" w:rsidRPr="00234B1F">
        <w:t>Bundesamt für Wirtschaft und Ausfuhrkontrolle (BAFA)</w:t>
      </w:r>
      <w:r w:rsidR="00234B1F">
        <w:t xml:space="preserve">. </w:t>
      </w:r>
      <w:r w:rsidR="0027672F">
        <w:t xml:space="preserve">Seit </w:t>
      </w:r>
      <w:r w:rsidR="00F84DAF">
        <w:t>2021</w:t>
      </w:r>
      <w:r w:rsidR="0027672F">
        <w:t xml:space="preserve"> gibt es die </w:t>
      </w:r>
      <w:r w:rsidR="00965261" w:rsidRPr="00965261">
        <w:t>Bundesförderung für effiziente Gebäude (BEG)</w:t>
      </w:r>
      <w:r w:rsidR="0027672F">
        <w:t>, die sich in drei Teilprogramme aufteilt:</w:t>
      </w:r>
    </w:p>
    <w:p w14:paraId="2F980298" w14:textId="75EA007E" w:rsidR="00B63425" w:rsidRDefault="009E615C" w:rsidP="0027672F">
      <w:pPr>
        <w:pStyle w:val="Listenabsatz"/>
        <w:numPr>
          <w:ilvl w:val="0"/>
          <w:numId w:val="5"/>
        </w:numPr>
      </w:pPr>
      <w:r w:rsidRPr="009E615C">
        <w:t>Vollsanierung und den Neubau von Wohngebäuden (BEG WG)</w:t>
      </w:r>
    </w:p>
    <w:p w14:paraId="2D21EB1E" w14:textId="27358BD0" w:rsidR="009E615C" w:rsidRDefault="009E615C" w:rsidP="0027672F">
      <w:pPr>
        <w:pStyle w:val="Listenabsatz"/>
        <w:numPr>
          <w:ilvl w:val="0"/>
          <w:numId w:val="5"/>
        </w:numPr>
      </w:pPr>
      <w:r w:rsidRPr="009E615C">
        <w:t>Vollsanierung und den Neubau von Nichtwohngebäuden (BEG NWG)</w:t>
      </w:r>
    </w:p>
    <w:p w14:paraId="4C417351" w14:textId="7F273A0E" w:rsidR="009E615C" w:rsidRDefault="00DB1B39" w:rsidP="0027672F">
      <w:pPr>
        <w:pStyle w:val="Listenabsatz"/>
        <w:numPr>
          <w:ilvl w:val="0"/>
          <w:numId w:val="5"/>
        </w:numPr>
      </w:pPr>
      <w:r w:rsidRPr="00DB1B39">
        <w:t>Einzelmaßnahmen an Wohngebäuden (BEG EM).</w:t>
      </w:r>
    </w:p>
    <w:p w14:paraId="22789628" w14:textId="77777777" w:rsidR="000E0E28" w:rsidRDefault="000E0E28" w:rsidP="00F34A6F"/>
    <w:p w14:paraId="3BEAED47" w14:textId="74EABA82" w:rsidR="00F34A6F" w:rsidRDefault="00FD375A" w:rsidP="00F34A6F">
      <w:r>
        <w:t xml:space="preserve">Seit dem 1. Juli </w:t>
      </w:r>
      <w:r w:rsidR="00EA23DA">
        <w:t xml:space="preserve">2021 </w:t>
      </w:r>
      <w:r>
        <w:t xml:space="preserve">ist die BAFA für </w:t>
      </w:r>
      <w:r w:rsidRPr="00FD375A">
        <w:rPr>
          <w:u w:val="single"/>
        </w:rPr>
        <w:t>alle</w:t>
      </w:r>
      <w:r>
        <w:t xml:space="preserve"> Zuschüsse im Rahmen BEG EM</w:t>
      </w:r>
      <w:r w:rsidR="00D060B0">
        <w:t xml:space="preserve">, </w:t>
      </w:r>
      <w:r w:rsidR="00D060B0" w:rsidRPr="009808EC">
        <w:t>auf die hier im folgenden Beispiel fokussiert wird,</w:t>
      </w:r>
      <w:r>
        <w:t xml:space="preserve"> zuständig. </w:t>
      </w:r>
      <w:r w:rsidR="001028A0">
        <w:t>Wichtig bei all diesen Programmen: Die Förderung muss vor Baubeginn beantragt und zudem ein Energieberater beauftragt werden.</w:t>
      </w:r>
      <w:r w:rsidR="00853FCA">
        <w:t xml:space="preserve"> D</w:t>
      </w:r>
      <w:r w:rsidR="00917C5B">
        <w:t xml:space="preserve">ie Kosten </w:t>
      </w:r>
      <w:r w:rsidR="00853ACA">
        <w:t xml:space="preserve">für dessen </w:t>
      </w:r>
      <w:r w:rsidR="008D4A78">
        <w:t xml:space="preserve">Fachplanung und Baubegleitung </w:t>
      </w:r>
      <w:r w:rsidR="00D03513">
        <w:t xml:space="preserve">sind bis zu einem Betrag von 10.000 Euro förderfähig. </w:t>
      </w:r>
      <w:r w:rsidR="00DF2441">
        <w:t>Man erhält einen Zuschuss von 50 Prozent, also bis zu 5.000 Euro, ü</w:t>
      </w:r>
      <w:r w:rsidR="00D03513">
        <w:t xml:space="preserve">ber die KfW Programme KfW </w:t>
      </w:r>
      <w:r w:rsidR="00E604EC">
        <w:t>261</w:t>
      </w:r>
      <w:r w:rsidR="005452EE">
        <w:t xml:space="preserve"> </w:t>
      </w:r>
      <w:r w:rsidR="00E604EC">
        <w:t>oder KfW 461</w:t>
      </w:r>
      <w:r w:rsidR="00DF2441">
        <w:t xml:space="preserve">. </w:t>
      </w:r>
      <w:r w:rsidR="00093661">
        <w:t>Zudem muss d</w:t>
      </w:r>
      <w:r w:rsidR="00294EB6">
        <w:t>ie</w:t>
      </w:r>
      <w:r w:rsidR="00093661">
        <w:t xml:space="preserve"> für </w:t>
      </w:r>
      <w:r w:rsidR="00294EB6">
        <w:t>das</w:t>
      </w:r>
      <w:r w:rsidR="00093661">
        <w:t xml:space="preserve"> Bauvorhaben investierte Summe mindestens 2.000 Euro betragen.</w:t>
      </w:r>
    </w:p>
    <w:p w14:paraId="07E45547" w14:textId="5DA8278F" w:rsidR="00FA37D8" w:rsidRDefault="00FA37D8" w:rsidP="00F34A6F"/>
    <w:p w14:paraId="17028915" w14:textId="6D171487" w:rsidR="00FA37D8" w:rsidRDefault="00FA37D8" w:rsidP="00F34A6F">
      <w:pPr>
        <w:rPr>
          <w:b/>
          <w:bCs/>
        </w:rPr>
      </w:pPr>
      <w:r w:rsidRPr="00FA37D8">
        <w:rPr>
          <w:b/>
          <w:bCs/>
        </w:rPr>
        <w:t>Wie hoch können die Förderungen sein</w:t>
      </w:r>
      <w:r w:rsidR="008D0919">
        <w:rPr>
          <w:b/>
          <w:bCs/>
        </w:rPr>
        <w:t>?</w:t>
      </w:r>
    </w:p>
    <w:p w14:paraId="033214A8" w14:textId="13E48930" w:rsidR="00FA37D8" w:rsidRPr="00FA37D8" w:rsidRDefault="00FA37D8" w:rsidP="00F34A6F">
      <w:r>
        <w:t xml:space="preserve">Der Umfang der staatlichen Förderung kann </w:t>
      </w:r>
      <w:r w:rsidR="00DE70CC">
        <w:t xml:space="preserve">auch für eine Einzelmaßnahme wie den Dachfensteraustausch </w:t>
      </w:r>
      <w:r>
        <w:t>beträchtlich sein</w:t>
      </w:r>
      <w:r w:rsidR="00DE70CC">
        <w:t>: B</w:t>
      </w:r>
      <w:r w:rsidR="00C657FC">
        <w:t xml:space="preserve">is zu 12.000 Euro Zuschuss </w:t>
      </w:r>
      <w:r w:rsidR="00DE70CC">
        <w:t xml:space="preserve">sind </w:t>
      </w:r>
      <w:r w:rsidR="00C657FC">
        <w:t>möglich</w:t>
      </w:r>
      <w:r w:rsidR="00677F84">
        <w:t xml:space="preserve"> – in Kombination mit einem individuellen Sanierungsfahrplan </w:t>
      </w:r>
      <w:r w:rsidR="008D7287">
        <w:t xml:space="preserve">(ISFP) </w:t>
      </w:r>
      <w:r w:rsidR="00677F84">
        <w:t>sogar bis zu 15.000 Euro</w:t>
      </w:r>
      <w:r w:rsidR="00C657FC">
        <w:t>.</w:t>
      </w:r>
      <w:r w:rsidR="000E7460">
        <w:t xml:space="preserve"> Voraussetzung ist, dass das Gebäude mindestens fünf Jahre alt ist.</w:t>
      </w:r>
    </w:p>
    <w:p w14:paraId="03A3EF40" w14:textId="77777777" w:rsidR="00DD477A" w:rsidRDefault="00DD477A">
      <w:pPr>
        <w:spacing w:line="240" w:lineRule="auto"/>
        <w:rPr>
          <w:b/>
          <w:bCs/>
        </w:rPr>
      </w:pPr>
      <w:r>
        <w:rPr>
          <w:b/>
          <w:bCs/>
        </w:rPr>
        <w:br w:type="page"/>
      </w:r>
    </w:p>
    <w:p w14:paraId="02A12CE7" w14:textId="01A3CAB3" w:rsidR="00C657FC" w:rsidRPr="008D7287" w:rsidRDefault="00C245CA" w:rsidP="00F34A6F">
      <w:pPr>
        <w:rPr>
          <w:b/>
          <w:bCs/>
        </w:rPr>
      </w:pPr>
      <w:r w:rsidRPr="008D7287">
        <w:rPr>
          <w:b/>
          <w:bCs/>
        </w:rPr>
        <w:lastRenderedPageBreak/>
        <w:t xml:space="preserve">Übersicht Förderprogramme </w:t>
      </w:r>
      <w:r w:rsidR="008D7287" w:rsidRPr="008D7287">
        <w:rPr>
          <w:b/>
          <w:bCs/>
        </w:rPr>
        <w:t>am Beispiel Dachfenster-Einbau</w:t>
      </w:r>
      <w:r w:rsidR="00DD477A">
        <w:rPr>
          <w:b/>
          <w:bCs/>
        </w:rPr>
        <w:t>*</w:t>
      </w:r>
    </w:p>
    <w:tbl>
      <w:tblPr>
        <w:tblStyle w:val="Tabellenraster"/>
        <w:tblW w:w="0" w:type="auto"/>
        <w:tblLook w:val="04A0" w:firstRow="1" w:lastRow="0" w:firstColumn="1" w:lastColumn="0" w:noHBand="0" w:noVBand="1"/>
      </w:tblPr>
      <w:tblGrid>
        <w:gridCol w:w="2141"/>
        <w:gridCol w:w="1329"/>
        <w:gridCol w:w="1236"/>
        <w:gridCol w:w="1793"/>
        <w:gridCol w:w="1711"/>
      </w:tblGrid>
      <w:tr w:rsidR="009A5892" w14:paraId="2DA27E2E" w14:textId="77777777" w:rsidTr="006E0458">
        <w:tc>
          <w:tcPr>
            <w:tcW w:w="2141" w:type="dxa"/>
            <w:shd w:val="clear" w:color="auto" w:fill="E7E6E6" w:themeFill="background2"/>
          </w:tcPr>
          <w:p w14:paraId="72871082" w14:textId="7BB7E511" w:rsidR="00C245CA" w:rsidRPr="009A5892" w:rsidRDefault="00C245CA" w:rsidP="00F34A6F">
            <w:pPr>
              <w:rPr>
                <w:b/>
                <w:bCs/>
              </w:rPr>
            </w:pPr>
            <w:r w:rsidRPr="009A5892">
              <w:rPr>
                <w:b/>
                <w:bCs/>
              </w:rPr>
              <w:t>Maßnahme</w:t>
            </w:r>
          </w:p>
        </w:tc>
        <w:tc>
          <w:tcPr>
            <w:tcW w:w="1329" w:type="dxa"/>
            <w:shd w:val="clear" w:color="auto" w:fill="E7E6E6" w:themeFill="background2"/>
          </w:tcPr>
          <w:p w14:paraId="42915206" w14:textId="4C9AFBD1" w:rsidR="00C245CA" w:rsidRPr="009A5892" w:rsidRDefault="00C245CA" w:rsidP="00F34A6F">
            <w:pPr>
              <w:rPr>
                <w:b/>
                <w:bCs/>
              </w:rPr>
            </w:pPr>
            <w:r w:rsidRPr="009A5892">
              <w:rPr>
                <w:b/>
                <w:bCs/>
              </w:rPr>
              <w:t>Programm</w:t>
            </w:r>
          </w:p>
        </w:tc>
        <w:tc>
          <w:tcPr>
            <w:tcW w:w="1236" w:type="dxa"/>
            <w:shd w:val="clear" w:color="auto" w:fill="E7E6E6" w:themeFill="background2"/>
          </w:tcPr>
          <w:p w14:paraId="5C048153" w14:textId="7BEEBEEC" w:rsidR="00C245CA" w:rsidRPr="009A5892" w:rsidRDefault="00C245CA" w:rsidP="00F34A6F">
            <w:pPr>
              <w:rPr>
                <w:b/>
                <w:bCs/>
              </w:rPr>
            </w:pPr>
            <w:r w:rsidRPr="009A5892">
              <w:rPr>
                <w:b/>
                <w:bCs/>
              </w:rPr>
              <w:t>Art</w:t>
            </w:r>
          </w:p>
        </w:tc>
        <w:tc>
          <w:tcPr>
            <w:tcW w:w="1793" w:type="dxa"/>
            <w:shd w:val="clear" w:color="auto" w:fill="E7E6E6" w:themeFill="background2"/>
          </w:tcPr>
          <w:p w14:paraId="33E2427E" w14:textId="0B14CB4A" w:rsidR="00C245CA" w:rsidRPr="009A5892" w:rsidRDefault="00C245CA" w:rsidP="00F34A6F">
            <w:pPr>
              <w:rPr>
                <w:b/>
                <w:bCs/>
              </w:rPr>
            </w:pPr>
            <w:r w:rsidRPr="009A5892">
              <w:rPr>
                <w:b/>
                <w:bCs/>
              </w:rPr>
              <w:t>Voraussetzung</w:t>
            </w:r>
          </w:p>
        </w:tc>
        <w:tc>
          <w:tcPr>
            <w:tcW w:w="1711" w:type="dxa"/>
            <w:shd w:val="clear" w:color="auto" w:fill="E7E6E6" w:themeFill="background2"/>
          </w:tcPr>
          <w:p w14:paraId="0A1DA07C" w14:textId="5C88F992" w:rsidR="00C245CA" w:rsidRPr="009A5892" w:rsidRDefault="00C245CA" w:rsidP="00F34A6F">
            <w:pPr>
              <w:rPr>
                <w:b/>
                <w:bCs/>
              </w:rPr>
            </w:pPr>
            <w:r w:rsidRPr="009A5892">
              <w:rPr>
                <w:b/>
                <w:bCs/>
              </w:rPr>
              <w:t>Förderung</w:t>
            </w:r>
          </w:p>
        </w:tc>
      </w:tr>
      <w:tr w:rsidR="009A5892" w:rsidRPr="00F25CD8" w14:paraId="1DA709F9" w14:textId="77777777" w:rsidTr="006E0458">
        <w:tc>
          <w:tcPr>
            <w:tcW w:w="2141" w:type="dxa"/>
          </w:tcPr>
          <w:p w14:paraId="4DCF68FA" w14:textId="560C5C09" w:rsidR="00C245CA" w:rsidRPr="00F25CD8" w:rsidRDefault="00677F84" w:rsidP="009A5892">
            <w:pPr>
              <w:spacing w:line="276" w:lineRule="auto"/>
              <w:rPr>
                <w:sz w:val="20"/>
                <w:szCs w:val="20"/>
              </w:rPr>
            </w:pPr>
            <w:r w:rsidRPr="00F25CD8">
              <w:rPr>
                <w:sz w:val="20"/>
                <w:szCs w:val="20"/>
              </w:rPr>
              <w:t>Austausch Dachfenster</w:t>
            </w:r>
          </w:p>
        </w:tc>
        <w:tc>
          <w:tcPr>
            <w:tcW w:w="1329" w:type="dxa"/>
          </w:tcPr>
          <w:p w14:paraId="28FB167D" w14:textId="5C5BD9F8" w:rsidR="00C245CA" w:rsidRPr="00F25CD8" w:rsidRDefault="00677F84" w:rsidP="009A5892">
            <w:pPr>
              <w:spacing w:line="276" w:lineRule="auto"/>
              <w:rPr>
                <w:sz w:val="20"/>
                <w:szCs w:val="20"/>
              </w:rPr>
            </w:pPr>
            <w:r w:rsidRPr="00F25CD8">
              <w:rPr>
                <w:sz w:val="20"/>
                <w:szCs w:val="20"/>
              </w:rPr>
              <w:t>BEG EM</w:t>
            </w:r>
            <w:r w:rsidR="00C15C2A" w:rsidRPr="00F25CD8">
              <w:rPr>
                <w:sz w:val="20"/>
                <w:szCs w:val="20"/>
              </w:rPr>
              <w:t xml:space="preserve"> </w:t>
            </w:r>
            <w:r w:rsidR="00C15C2A">
              <w:rPr>
                <w:sz w:val="20"/>
                <w:szCs w:val="20"/>
              </w:rPr>
              <w:t xml:space="preserve">/ </w:t>
            </w:r>
            <w:r w:rsidR="00C15C2A" w:rsidRPr="00F25CD8">
              <w:rPr>
                <w:sz w:val="20"/>
                <w:szCs w:val="20"/>
              </w:rPr>
              <w:t>BAFA</w:t>
            </w:r>
          </w:p>
        </w:tc>
        <w:tc>
          <w:tcPr>
            <w:tcW w:w="1236" w:type="dxa"/>
          </w:tcPr>
          <w:p w14:paraId="439A80D1" w14:textId="006F0639" w:rsidR="00C245CA" w:rsidRPr="00F25CD8" w:rsidRDefault="00677F84" w:rsidP="009A5892">
            <w:pPr>
              <w:spacing w:line="276" w:lineRule="auto"/>
              <w:rPr>
                <w:sz w:val="20"/>
                <w:szCs w:val="20"/>
              </w:rPr>
            </w:pPr>
            <w:r w:rsidRPr="00F25CD8">
              <w:rPr>
                <w:sz w:val="20"/>
                <w:szCs w:val="20"/>
              </w:rPr>
              <w:t>Zuschuss</w:t>
            </w:r>
          </w:p>
        </w:tc>
        <w:tc>
          <w:tcPr>
            <w:tcW w:w="1793" w:type="dxa"/>
          </w:tcPr>
          <w:p w14:paraId="7185A82B" w14:textId="77777777" w:rsidR="009A5892" w:rsidRDefault="00F25CD8" w:rsidP="009A5892">
            <w:pPr>
              <w:spacing w:line="276" w:lineRule="auto"/>
              <w:rPr>
                <w:sz w:val="20"/>
                <w:szCs w:val="20"/>
              </w:rPr>
            </w:pPr>
            <w:r w:rsidRPr="00F25CD8">
              <w:rPr>
                <w:sz w:val="20"/>
                <w:szCs w:val="20"/>
              </w:rPr>
              <w:t xml:space="preserve">Gebäude </w:t>
            </w:r>
            <w:r w:rsidR="00C73067" w:rsidRPr="00C73067">
              <w:rPr>
                <w:sz w:val="20"/>
                <w:szCs w:val="20"/>
              </w:rPr>
              <w:t xml:space="preserve">mind. </w:t>
            </w:r>
          </w:p>
          <w:p w14:paraId="51D419E5" w14:textId="3104237B" w:rsidR="00C245CA" w:rsidRDefault="00C73067" w:rsidP="009A5892">
            <w:pPr>
              <w:spacing w:line="276" w:lineRule="auto"/>
              <w:rPr>
                <w:sz w:val="20"/>
                <w:szCs w:val="20"/>
              </w:rPr>
            </w:pPr>
            <w:r w:rsidRPr="00C73067">
              <w:rPr>
                <w:sz w:val="20"/>
                <w:szCs w:val="20"/>
              </w:rPr>
              <w:t>5 Jahre alt</w:t>
            </w:r>
            <w:r w:rsidR="00517D20">
              <w:rPr>
                <w:sz w:val="20"/>
                <w:szCs w:val="20"/>
              </w:rPr>
              <w:t>,</w:t>
            </w:r>
          </w:p>
          <w:p w14:paraId="194CAFBD" w14:textId="278B95F2" w:rsidR="00517D20" w:rsidRPr="00F25CD8" w:rsidRDefault="00517D20" w:rsidP="009A5892">
            <w:pPr>
              <w:spacing w:line="276" w:lineRule="auto"/>
              <w:rPr>
                <w:sz w:val="20"/>
                <w:szCs w:val="20"/>
              </w:rPr>
            </w:pPr>
            <w:r w:rsidRPr="009808EC">
              <w:rPr>
                <w:sz w:val="20"/>
                <w:szCs w:val="20"/>
              </w:rPr>
              <w:t>Investition von mind. 2.000 €</w:t>
            </w:r>
          </w:p>
        </w:tc>
        <w:tc>
          <w:tcPr>
            <w:tcW w:w="1711" w:type="dxa"/>
          </w:tcPr>
          <w:p w14:paraId="2DFEA906" w14:textId="5A0C7D7D" w:rsidR="00C245CA" w:rsidRPr="00F25CD8" w:rsidRDefault="00677F84" w:rsidP="009A5892">
            <w:pPr>
              <w:spacing w:line="276" w:lineRule="auto"/>
              <w:rPr>
                <w:sz w:val="20"/>
                <w:szCs w:val="20"/>
              </w:rPr>
            </w:pPr>
            <w:r w:rsidRPr="00F25CD8">
              <w:rPr>
                <w:sz w:val="20"/>
                <w:szCs w:val="20"/>
              </w:rPr>
              <w:t>20 %, max</w:t>
            </w:r>
            <w:r w:rsidR="002B0B75">
              <w:rPr>
                <w:sz w:val="20"/>
                <w:szCs w:val="20"/>
              </w:rPr>
              <w:t>.</w:t>
            </w:r>
            <w:r w:rsidRPr="00F25CD8">
              <w:rPr>
                <w:sz w:val="20"/>
                <w:szCs w:val="20"/>
              </w:rPr>
              <w:t xml:space="preserve"> 12.000 Euro</w:t>
            </w:r>
          </w:p>
        </w:tc>
      </w:tr>
      <w:tr w:rsidR="009A5892" w:rsidRPr="00F25CD8" w14:paraId="068FBDFB" w14:textId="77777777" w:rsidTr="006E0458">
        <w:tc>
          <w:tcPr>
            <w:tcW w:w="2141" w:type="dxa"/>
          </w:tcPr>
          <w:p w14:paraId="2C36512D" w14:textId="368B73D0" w:rsidR="00C245CA" w:rsidRPr="00F25CD8" w:rsidRDefault="007F0EA8" w:rsidP="009A5892">
            <w:pPr>
              <w:spacing w:line="276" w:lineRule="auto"/>
              <w:rPr>
                <w:sz w:val="20"/>
                <w:szCs w:val="20"/>
              </w:rPr>
            </w:pPr>
            <w:r>
              <w:rPr>
                <w:sz w:val="20"/>
                <w:szCs w:val="20"/>
              </w:rPr>
              <w:t>Austausch Dachfenster</w:t>
            </w:r>
          </w:p>
        </w:tc>
        <w:tc>
          <w:tcPr>
            <w:tcW w:w="1329" w:type="dxa"/>
          </w:tcPr>
          <w:p w14:paraId="3AD4FC45" w14:textId="1AC24C41" w:rsidR="00C245CA" w:rsidRPr="00F25CD8" w:rsidRDefault="00C15C2A" w:rsidP="009A5892">
            <w:pPr>
              <w:spacing w:line="276" w:lineRule="auto"/>
              <w:rPr>
                <w:sz w:val="20"/>
                <w:szCs w:val="20"/>
              </w:rPr>
            </w:pPr>
            <w:r>
              <w:rPr>
                <w:sz w:val="20"/>
                <w:szCs w:val="20"/>
              </w:rPr>
              <w:t xml:space="preserve">BEG EM / </w:t>
            </w:r>
            <w:r w:rsidR="007F0EA8">
              <w:rPr>
                <w:sz w:val="20"/>
                <w:szCs w:val="20"/>
              </w:rPr>
              <w:t xml:space="preserve">BAFA mit </w:t>
            </w:r>
            <w:r w:rsidR="00A2050A" w:rsidRPr="00B91B2F">
              <w:rPr>
                <w:sz w:val="20"/>
                <w:szCs w:val="20"/>
              </w:rPr>
              <w:t>i</w:t>
            </w:r>
            <w:r w:rsidR="007F0EA8">
              <w:rPr>
                <w:sz w:val="20"/>
                <w:szCs w:val="20"/>
              </w:rPr>
              <w:t>SFP-Bonus</w:t>
            </w:r>
          </w:p>
        </w:tc>
        <w:tc>
          <w:tcPr>
            <w:tcW w:w="1236" w:type="dxa"/>
          </w:tcPr>
          <w:p w14:paraId="17DEC380" w14:textId="136A42E2" w:rsidR="00C245CA" w:rsidRPr="00F25CD8" w:rsidRDefault="007F0EA8" w:rsidP="009A5892">
            <w:pPr>
              <w:spacing w:line="276" w:lineRule="auto"/>
              <w:rPr>
                <w:sz w:val="20"/>
                <w:szCs w:val="20"/>
              </w:rPr>
            </w:pPr>
            <w:r>
              <w:rPr>
                <w:sz w:val="20"/>
                <w:szCs w:val="20"/>
              </w:rPr>
              <w:t>Zuschuss</w:t>
            </w:r>
          </w:p>
        </w:tc>
        <w:tc>
          <w:tcPr>
            <w:tcW w:w="1793" w:type="dxa"/>
          </w:tcPr>
          <w:p w14:paraId="13CA2603" w14:textId="77777777" w:rsidR="009A5892" w:rsidRDefault="007F0EA8" w:rsidP="009A5892">
            <w:pPr>
              <w:spacing w:line="276" w:lineRule="auto"/>
              <w:rPr>
                <w:sz w:val="20"/>
                <w:szCs w:val="20"/>
              </w:rPr>
            </w:pPr>
            <w:r w:rsidRPr="007F0EA8">
              <w:rPr>
                <w:sz w:val="20"/>
                <w:szCs w:val="20"/>
              </w:rPr>
              <w:t>Gebäude</w:t>
            </w:r>
            <w:r w:rsidR="009A5892">
              <w:rPr>
                <w:sz w:val="20"/>
                <w:szCs w:val="20"/>
              </w:rPr>
              <w:t xml:space="preserve"> </w:t>
            </w:r>
            <w:r w:rsidR="00C73067">
              <w:rPr>
                <w:sz w:val="20"/>
                <w:szCs w:val="20"/>
              </w:rPr>
              <w:t>mind.</w:t>
            </w:r>
          </w:p>
          <w:p w14:paraId="4CFDC0DF" w14:textId="77777777" w:rsidR="00C245CA" w:rsidRDefault="007F0EA8" w:rsidP="009A5892">
            <w:pPr>
              <w:spacing w:line="276" w:lineRule="auto"/>
              <w:rPr>
                <w:sz w:val="20"/>
                <w:szCs w:val="20"/>
              </w:rPr>
            </w:pPr>
            <w:r w:rsidRPr="007F0EA8">
              <w:rPr>
                <w:sz w:val="20"/>
                <w:szCs w:val="20"/>
              </w:rPr>
              <w:t xml:space="preserve">5 Jahre </w:t>
            </w:r>
            <w:r w:rsidR="009C6074">
              <w:rPr>
                <w:sz w:val="20"/>
                <w:szCs w:val="20"/>
              </w:rPr>
              <w:t>alt</w:t>
            </w:r>
            <w:r w:rsidR="00517D20">
              <w:rPr>
                <w:sz w:val="20"/>
                <w:szCs w:val="20"/>
              </w:rPr>
              <w:t>,</w:t>
            </w:r>
          </w:p>
          <w:p w14:paraId="57FED692" w14:textId="527565D3" w:rsidR="00517D20" w:rsidRPr="00F25CD8" w:rsidRDefault="00517D20" w:rsidP="009A5892">
            <w:pPr>
              <w:spacing w:line="276" w:lineRule="auto"/>
              <w:rPr>
                <w:sz w:val="20"/>
                <w:szCs w:val="20"/>
              </w:rPr>
            </w:pPr>
            <w:r w:rsidRPr="009808EC">
              <w:rPr>
                <w:sz w:val="20"/>
                <w:szCs w:val="20"/>
              </w:rPr>
              <w:t>Investition von mind. 2.000 €</w:t>
            </w:r>
          </w:p>
        </w:tc>
        <w:tc>
          <w:tcPr>
            <w:tcW w:w="1711" w:type="dxa"/>
          </w:tcPr>
          <w:p w14:paraId="667A8D68" w14:textId="5AD2A493" w:rsidR="00C245CA" w:rsidRPr="00F25CD8" w:rsidRDefault="007F0EA8" w:rsidP="009A5892">
            <w:pPr>
              <w:spacing w:line="276" w:lineRule="auto"/>
              <w:rPr>
                <w:sz w:val="20"/>
                <w:szCs w:val="20"/>
              </w:rPr>
            </w:pPr>
            <w:r>
              <w:rPr>
                <w:sz w:val="20"/>
                <w:szCs w:val="20"/>
              </w:rPr>
              <w:t>25 %, max. 15.000 Euro</w:t>
            </w:r>
          </w:p>
        </w:tc>
      </w:tr>
      <w:tr w:rsidR="0032524C" w:rsidRPr="00F25CD8" w14:paraId="0002C4D6" w14:textId="77777777" w:rsidTr="006E0458">
        <w:tc>
          <w:tcPr>
            <w:tcW w:w="2141" w:type="dxa"/>
          </w:tcPr>
          <w:p w14:paraId="0478F0E4" w14:textId="02310817" w:rsidR="0032524C" w:rsidRDefault="0032524C" w:rsidP="009A5892">
            <w:pPr>
              <w:spacing w:line="276" w:lineRule="auto"/>
              <w:rPr>
                <w:sz w:val="20"/>
                <w:szCs w:val="20"/>
              </w:rPr>
            </w:pPr>
            <w:r w:rsidRPr="0032524C">
              <w:rPr>
                <w:sz w:val="20"/>
                <w:szCs w:val="20"/>
              </w:rPr>
              <w:t>Austausch Dachfenster</w:t>
            </w:r>
          </w:p>
        </w:tc>
        <w:tc>
          <w:tcPr>
            <w:tcW w:w="1329" w:type="dxa"/>
          </w:tcPr>
          <w:p w14:paraId="2EBE1B4E" w14:textId="1F3F1C73" w:rsidR="0032524C" w:rsidRPr="00B91B2F" w:rsidRDefault="00C15C2A" w:rsidP="009A5892">
            <w:pPr>
              <w:spacing w:line="276" w:lineRule="auto"/>
              <w:rPr>
                <w:sz w:val="20"/>
                <w:szCs w:val="20"/>
              </w:rPr>
            </w:pPr>
            <w:r w:rsidRPr="00B91B2F">
              <w:rPr>
                <w:sz w:val="20"/>
                <w:szCs w:val="20"/>
              </w:rPr>
              <w:t xml:space="preserve">BEG EM / </w:t>
            </w:r>
            <w:r w:rsidR="00252B42" w:rsidRPr="00B91B2F">
              <w:rPr>
                <w:sz w:val="20"/>
                <w:szCs w:val="20"/>
              </w:rPr>
              <w:t>BAFA mit iSFP-Bonus</w:t>
            </w:r>
          </w:p>
        </w:tc>
        <w:tc>
          <w:tcPr>
            <w:tcW w:w="1236" w:type="dxa"/>
          </w:tcPr>
          <w:p w14:paraId="7A2F4634" w14:textId="77777777" w:rsidR="009A5892" w:rsidRDefault="00877443" w:rsidP="009A5892">
            <w:pPr>
              <w:spacing w:line="276" w:lineRule="auto"/>
              <w:rPr>
                <w:sz w:val="20"/>
                <w:szCs w:val="20"/>
              </w:rPr>
            </w:pPr>
            <w:r>
              <w:rPr>
                <w:sz w:val="20"/>
                <w:szCs w:val="20"/>
              </w:rPr>
              <w:t>Kredit</w:t>
            </w:r>
            <w:r w:rsidR="009A5892">
              <w:rPr>
                <w:sz w:val="20"/>
                <w:szCs w:val="20"/>
              </w:rPr>
              <w:t xml:space="preserve"> inkl. Tilgungs-</w:t>
            </w:r>
          </w:p>
          <w:p w14:paraId="4E2A5192" w14:textId="69DA63B0" w:rsidR="0032524C" w:rsidRDefault="009A5892" w:rsidP="009A5892">
            <w:pPr>
              <w:spacing w:line="276" w:lineRule="auto"/>
              <w:rPr>
                <w:sz w:val="20"/>
                <w:szCs w:val="20"/>
              </w:rPr>
            </w:pPr>
            <w:r>
              <w:rPr>
                <w:sz w:val="20"/>
                <w:szCs w:val="20"/>
              </w:rPr>
              <w:t>zuschuss</w:t>
            </w:r>
          </w:p>
        </w:tc>
        <w:tc>
          <w:tcPr>
            <w:tcW w:w="1793" w:type="dxa"/>
          </w:tcPr>
          <w:p w14:paraId="4E4C6BEC" w14:textId="77777777" w:rsidR="009A5892" w:rsidRPr="009A5892" w:rsidRDefault="009A5892" w:rsidP="009A5892">
            <w:pPr>
              <w:spacing w:line="276" w:lineRule="auto"/>
              <w:rPr>
                <w:sz w:val="20"/>
                <w:szCs w:val="20"/>
              </w:rPr>
            </w:pPr>
            <w:r w:rsidRPr="009A5892">
              <w:rPr>
                <w:sz w:val="20"/>
                <w:szCs w:val="20"/>
              </w:rPr>
              <w:t>Gebäude mind.</w:t>
            </w:r>
          </w:p>
          <w:p w14:paraId="4D1EA496" w14:textId="77777777" w:rsidR="0032524C" w:rsidRDefault="009A5892" w:rsidP="009A5892">
            <w:pPr>
              <w:spacing w:line="276" w:lineRule="auto"/>
              <w:rPr>
                <w:sz w:val="20"/>
                <w:szCs w:val="20"/>
              </w:rPr>
            </w:pPr>
            <w:r w:rsidRPr="009A5892">
              <w:rPr>
                <w:sz w:val="20"/>
                <w:szCs w:val="20"/>
              </w:rPr>
              <w:t>5 Jahre alt</w:t>
            </w:r>
            <w:r w:rsidR="00517D20">
              <w:rPr>
                <w:sz w:val="20"/>
                <w:szCs w:val="20"/>
              </w:rPr>
              <w:t>,</w:t>
            </w:r>
          </w:p>
          <w:p w14:paraId="48882225" w14:textId="76F7F8C4" w:rsidR="00517D20" w:rsidRDefault="00517D20" w:rsidP="009A5892">
            <w:pPr>
              <w:spacing w:line="276" w:lineRule="auto"/>
              <w:rPr>
                <w:sz w:val="20"/>
                <w:szCs w:val="20"/>
              </w:rPr>
            </w:pPr>
            <w:r w:rsidRPr="009808EC">
              <w:rPr>
                <w:sz w:val="20"/>
                <w:szCs w:val="20"/>
              </w:rPr>
              <w:t>Investition von mind. 2.000 €</w:t>
            </w:r>
          </w:p>
        </w:tc>
        <w:tc>
          <w:tcPr>
            <w:tcW w:w="1711" w:type="dxa"/>
          </w:tcPr>
          <w:p w14:paraId="2992CE58" w14:textId="6F32AA09" w:rsidR="0032524C" w:rsidRPr="00B91B2F" w:rsidRDefault="00877443" w:rsidP="009A5892">
            <w:pPr>
              <w:spacing w:line="276" w:lineRule="auto"/>
              <w:rPr>
                <w:sz w:val="20"/>
                <w:szCs w:val="20"/>
              </w:rPr>
            </w:pPr>
            <w:r w:rsidRPr="00B91B2F">
              <w:rPr>
                <w:sz w:val="20"/>
                <w:szCs w:val="20"/>
              </w:rPr>
              <w:t xml:space="preserve">Kredit mit 0,75 % Sollzins über max. 50.000 € &amp; </w:t>
            </w:r>
            <w:r w:rsidR="00C15C2A" w:rsidRPr="00B91B2F">
              <w:rPr>
                <w:sz w:val="20"/>
                <w:szCs w:val="20"/>
              </w:rPr>
              <w:t>2</w:t>
            </w:r>
            <w:r w:rsidR="00252B42" w:rsidRPr="00B91B2F">
              <w:rPr>
                <w:sz w:val="20"/>
                <w:szCs w:val="20"/>
              </w:rPr>
              <w:t>5</w:t>
            </w:r>
            <w:r w:rsidR="00C15C2A" w:rsidRPr="00B91B2F">
              <w:rPr>
                <w:sz w:val="20"/>
                <w:szCs w:val="20"/>
              </w:rPr>
              <w:t xml:space="preserve"> % Tilgungs-zuschuss</w:t>
            </w:r>
          </w:p>
        </w:tc>
      </w:tr>
    </w:tbl>
    <w:p w14:paraId="561D5F6F" w14:textId="0425E49E" w:rsidR="000E7460" w:rsidRPr="00C73067" w:rsidRDefault="00C73067" w:rsidP="00C73067">
      <w:pPr>
        <w:rPr>
          <w:sz w:val="20"/>
          <w:szCs w:val="20"/>
        </w:rPr>
      </w:pPr>
      <w:r>
        <w:rPr>
          <w:sz w:val="20"/>
          <w:szCs w:val="20"/>
        </w:rPr>
        <w:t xml:space="preserve">* gilt für </w:t>
      </w:r>
      <w:r w:rsidR="00DD477A" w:rsidRPr="00C73067">
        <w:rPr>
          <w:sz w:val="20"/>
          <w:szCs w:val="20"/>
        </w:rPr>
        <w:t>Dachfenster mit U</w:t>
      </w:r>
      <w:r w:rsidR="00DD477A" w:rsidRPr="00C73067">
        <w:rPr>
          <w:sz w:val="20"/>
          <w:szCs w:val="20"/>
          <w:vertAlign w:val="subscript"/>
        </w:rPr>
        <w:t>w</w:t>
      </w:r>
      <w:r w:rsidR="00DD477A" w:rsidRPr="00C73067">
        <w:rPr>
          <w:sz w:val="20"/>
          <w:szCs w:val="20"/>
        </w:rPr>
        <w:t>-Wert von 1,0 W/(m²K) oder niedriger</w:t>
      </w:r>
    </w:p>
    <w:p w14:paraId="4611625D" w14:textId="77777777" w:rsidR="003E61F7" w:rsidRDefault="003E61F7" w:rsidP="00F34A6F"/>
    <w:p w14:paraId="7D3008E7" w14:textId="15597E65" w:rsidR="00C657FC" w:rsidRPr="00C728CA" w:rsidRDefault="003E61F7" w:rsidP="00F34A6F">
      <w:r>
        <w:t>Spielt man</w:t>
      </w:r>
      <w:r w:rsidR="00C657FC">
        <w:t xml:space="preserve"> den konkreten Fall eines </w:t>
      </w:r>
      <w:r w:rsidR="009F3C14" w:rsidRPr="009F3C14">
        <w:t xml:space="preserve">BEG (EM) </w:t>
      </w:r>
      <w:r w:rsidR="00C657FC">
        <w:t xml:space="preserve">Dachfensteraustausches </w:t>
      </w:r>
      <w:r>
        <w:t xml:space="preserve">durch, werden die Vorteile noch deutlicher. </w:t>
      </w:r>
      <w:r w:rsidR="00C43FA4">
        <w:t>Wenn ein Bauherr beispielsweise plant ein altes Dachfenster gegen ein neues</w:t>
      </w:r>
      <w:r w:rsidR="007E4C6F">
        <w:t xml:space="preserve"> Velux </w:t>
      </w:r>
      <w:r w:rsidR="000E7460">
        <w:t>Klapp-Schwing</w:t>
      </w:r>
      <w:r w:rsidR="00C43FA4">
        <w:t xml:space="preserve">fenster </w:t>
      </w:r>
      <w:r w:rsidR="00745A0F">
        <w:t xml:space="preserve">aus Kunststoff </w:t>
      </w:r>
      <w:r w:rsidR="00C43FA4">
        <w:t xml:space="preserve">der Größe </w:t>
      </w:r>
      <w:r w:rsidR="00745A0F">
        <w:t>78x140</w:t>
      </w:r>
      <w:r w:rsidR="001F025B">
        <w:t xml:space="preserve"> Zentimetern</w:t>
      </w:r>
      <w:r w:rsidR="00C43FA4">
        <w:t xml:space="preserve"> mit Standardverglasung (</w:t>
      </w:r>
      <w:proofErr w:type="spellStart"/>
      <w:r w:rsidR="00C43FA4">
        <w:t>Thermo</w:t>
      </w:r>
      <w:proofErr w:type="spellEnd"/>
      <w:r w:rsidR="00C43FA4">
        <w:t xml:space="preserve">) </w:t>
      </w:r>
      <w:r w:rsidR="009808EC">
        <w:t>und</w:t>
      </w:r>
      <w:r w:rsidR="00C43FA4">
        <w:t xml:space="preserve"> Elektro</w:t>
      </w:r>
      <w:r w:rsidR="007E4C6F">
        <w:t>-R</w:t>
      </w:r>
      <w:r w:rsidR="00C43FA4">
        <w:t xml:space="preserve">ollladen zu tauschen, kostet ihn das inklusive Einbau </w:t>
      </w:r>
      <w:r w:rsidR="009808EC">
        <w:t>3.616</w:t>
      </w:r>
      <w:r w:rsidR="00E50142">
        <w:t xml:space="preserve"> Euro</w:t>
      </w:r>
      <w:r w:rsidR="009808EC">
        <w:t>*</w:t>
      </w:r>
      <w:r w:rsidR="007E4C6F">
        <w:t xml:space="preserve">. Wenn er sich jedoch für eine </w:t>
      </w:r>
      <w:r w:rsidR="001A1907">
        <w:t xml:space="preserve">Verglasung mit niedrigerem Wärmedämmwert wie </w:t>
      </w:r>
      <w:proofErr w:type="spellStart"/>
      <w:r w:rsidR="001A1907">
        <w:t>EnergiePlus</w:t>
      </w:r>
      <w:proofErr w:type="spellEnd"/>
      <w:r w:rsidR="001A1907">
        <w:t xml:space="preserve"> entscheiden würde, hätte er die Möglichkeit, die staatliche Förderung in Anspruch zu nehmen. Um das noch attraktiver zu gestalten, könnte der Handwerksbetrieb ihm anbieten, statt des einzelnen </w:t>
      </w:r>
      <w:r w:rsidR="00745A0F">
        <w:t xml:space="preserve">einfachen Klapp-Schwingfensters </w:t>
      </w:r>
      <w:r w:rsidR="001A1907">
        <w:t xml:space="preserve">ein Lichtband einzubauen. </w:t>
      </w:r>
      <w:r w:rsidR="004200D0">
        <w:t xml:space="preserve">Dies würde, wieder mit Elektro-Rollladen und inkl. Einbau, aber dafür mit energieeffizienterer Verglasung und </w:t>
      </w:r>
      <w:r w:rsidR="00E50142">
        <w:t xml:space="preserve">deutlich </w:t>
      </w:r>
      <w:r w:rsidR="004200D0">
        <w:t xml:space="preserve">größerer Lichtfläche </w:t>
      </w:r>
      <w:r w:rsidR="001F025B">
        <w:t xml:space="preserve">von 78x232 Zentimetern </w:t>
      </w:r>
      <w:r w:rsidR="004200D0">
        <w:t xml:space="preserve">eigentlich </w:t>
      </w:r>
      <w:r w:rsidR="004200D0" w:rsidRPr="009808EC">
        <w:t>5.</w:t>
      </w:r>
      <w:r w:rsidR="009808EC">
        <w:t>828</w:t>
      </w:r>
      <w:r w:rsidR="004200D0">
        <w:t xml:space="preserve"> Euro kosten. Unter der dann möglichen </w:t>
      </w:r>
      <w:r w:rsidR="00E50142">
        <w:t>Ina</w:t>
      </w:r>
      <w:r w:rsidR="004200D0">
        <w:t xml:space="preserve">nspruchnahme </w:t>
      </w:r>
      <w:r w:rsidR="00E50142">
        <w:t>von 2</w:t>
      </w:r>
      <w:r w:rsidR="001A1907">
        <w:t>0 Prozent Investitionskosten</w:t>
      </w:r>
      <w:r w:rsidR="00E50142">
        <w:t>-</w:t>
      </w:r>
      <w:r w:rsidR="001A1907">
        <w:t xml:space="preserve">Zuschuss </w:t>
      </w:r>
      <w:r w:rsidR="00E50142">
        <w:t xml:space="preserve">reduziert sich der Gesamtpreis jedoch auf </w:t>
      </w:r>
      <w:r w:rsidR="00E50142" w:rsidRPr="009808EC">
        <w:t>4.</w:t>
      </w:r>
      <w:r w:rsidR="009808EC" w:rsidRPr="009808EC">
        <w:t>662</w:t>
      </w:r>
      <w:r w:rsidR="00E50142" w:rsidRPr="009808EC">
        <w:t xml:space="preserve"> </w:t>
      </w:r>
      <w:r w:rsidR="00E50142">
        <w:t xml:space="preserve">Euro – aber der Kunde hat für nur </w:t>
      </w:r>
      <w:r w:rsidR="009808EC">
        <w:t>29</w:t>
      </w:r>
      <w:r w:rsidR="00E50142">
        <w:t xml:space="preserve"> Prozent Mehrkosten eine um 60 Prozent größere </w:t>
      </w:r>
      <w:r w:rsidR="009808EC">
        <w:t>Fenster</w:t>
      </w:r>
      <w:r w:rsidR="00E50142">
        <w:t xml:space="preserve">fläche und ein Dachfenster mit deutlich besserem Wärmedämmwert. </w:t>
      </w:r>
      <w:r w:rsidR="00B47CA3">
        <w:t xml:space="preserve">Er spart durch die staatliche Förderung </w:t>
      </w:r>
      <w:r w:rsidR="00B47CA3" w:rsidRPr="00641C14">
        <w:t>1.</w:t>
      </w:r>
      <w:r w:rsidR="00641C14" w:rsidRPr="00641C14">
        <w:t>046</w:t>
      </w:r>
      <w:r w:rsidR="009808EC" w:rsidRPr="00F20D4B">
        <w:t xml:space="preserve"> </w:t>
      </w:r>
      <w:r w:rsidR="00B47CA3">
        <w:t>Euro.</w:t>
      </w:r>
      <w:r w:rsidR="001F025B">
        <w:t xml:space="preserve"> </w:t>
      </w:r>
      <w:r w:rsidR="00B47557" w:rsidRPr="00C728CA">
        <w:t>Der Handwerksbetrieb profitiert schon allein durch die umfangreichere Montageleistung von etwa 300,- Euro mehr Lohn.</w:t>
      </w:r>
    </w:p>
    <w:p w14:paraId="06EA6C20" w14:textId="7A16ACF1" w:rsidR="00B47CA3" w:rsidRPr="00C728CA" w:rsidRDefault="00B47CA3" w:rsidP="00F34A6F"/>
    <w:p w14:paraId="52F58991" w14:textId="5F3AA646" w:rsidR="004733FB" w:rsidRPr="00C728CA" w:rsidRDefault="00CA2D11" w:rsidP="00F34A6F">
      <w:r w:rsidRPr="00C728CA">
        <w:lastRenderedPageBreak/>
        <w:t xml:space="preserve">Hier kann der Einwand erfolgen, dass zwar durch das Lichtband mehr Tageslicht gewonnen wird, aber </w:t>
      </w:r>
      <w:r w:rsidR="00B47557" w:rsidRPr="00C728CA">
        <w:t xml:space="preserve">für den Kunden </w:t>
      </w:r>
      <w:r w:rsidRPr="00C728CA">
        <w:t xml:space="preserve">trotzdem die Kosten steigen. Ein zweites Beispiel zeigt, dass auch ohne höhere Kosten ein Profitieren durch die Förderung möglich ist. Wie im ersten Fall soll ein altes Dachfenster gegen ein neues Velux Klapp-Schwingfenster </w:t>
      </w:r>
      <w:r w:rsidR="00E67015" w:rsidRPr="00C728CA">
        <w:t>inkl. Elektro-Rollladen getauscht werden. M</w:t>
      </w:r>
      <w:r w:rsidRPr="00C728CA">
        <w:t>it Standardverglasung (</w:t>
      </w:r>
      <w:proofErr w:type="spellStart"/>
      <w:r w:rsidRPr="00C728CA">
        <w:t>Thermo</w:t>
      </w:r>
      <w:proofErr w:type="spellEnd"/>
      <w:r w:rsidRPr="00C728CA">
        <w:t xml:space="preserve">) kostet das inklusive Einbau </w:t>
      </w:r>
      <w:r w:rsidRPr="009808EC">
        <w:t>3.</w:t>
      </w:r>
      <w:r w:rsidR="009808EC" w:rsidRPr="009808EC">
        <w:t>616</w:t>
      </w:r>
      <w:r w:rsidRPr="009808EC">
        <w:t xml:space="preserve"> </w:t>
      </w:r>
      <w:r w:rsidRPr="00C728CA">
        <w:t xml:space="preserve">Euro. </w:t>
      </w:r>
      <w:r w:rsidR="001470D4" w:rsidRPr="00C728CA">
        <w:t>Bei Entscheidung</w:t>
      </w:r>
      <w:r w:rsidRPr="00C728CA">
        <w:t xml:space="preserve"> für eine Verglasung mit </w:t>
      </w:r>
      <w:proofErr w:type="spellStart"/>
      <w:r w:rsidRPr="00C728CA">
        <w:t>EnergiePlus</w:t>
      </w:r>
      <w:proofErr w:type="spellEnd"/>
      <w:r w:rsidR="001470D4" w:rsidRPr="00C728CA">
        <w:t xml:space="preserve"> erhöht sich der Preis eig</w:t>
      </w:r>
      <w:r w:rsidR="002F4BD6" w:rsidRPr="00C728CA">
        <w:t>entlich</w:t>
      </w:r>
      <w:r w:rsidR="001470D4" w:rsidRPr="00C728CA">
        <w:t xml:space="preserve"> auf </w:t>
      </w:r>
      <w:r w:rsidR="002F4BD6" w:rsidRPr="009808EC">
        <w:t>3.</w:t>
      </w:r>
      <w:r w:rsidR="009808EC" w:rsidRPr="009808EC">
        <w:t>954</w:t>
      </w:r>
      <w:r w:rsidR="002F4BD6" w:rsidRPr="009808EC">
        <w:t xml:space="preserve"> </w:t>
      </w:r>
      <w:r w:rsidR="002F4BD6" w:rsidRPr="00C728CA">
        <w:t xml:space="preserve">Euro. Da </w:t>
      </w:r>
      <w:r w:rsidR="005943C5" w:rsidRPr="00C728CA">
        <w:t xml:space="preserve">der Bauherr </w:t>
      </w:r>
      <w:r w:rsidR="002F4BD6" w:rsidRPr="00C728CA">
        <w:t>aber</w:t>
      </w:r>
      <w:r w:rsidR="001470D4" w:rsidRPr="00C728CA">
        <w:t xml:space="preserve"> </w:t>
      </w:r>
      <w:r w:rsidRPr="00C728CA">
        <w:t xml:space="preserve">die staatliche Förderung </w:t>
      </w:r>
      <w:r w:rsidR="002F4BD6" w:rsidRPr="00C728CA">
        <w:t xml:space="preserve">von 20 Prozent </w:t>
      </w:r>
      <w:r w:rsidRPr="00C728CA">
        <w:t>in Anspruch</w:t>
      </w:r>
      <w:r w:rsidR="001470D4" w:rsidRPr="00C728CA">
        <w:t xml:space="preserve"> </w:t>
      </w:r>
      <w:r w:rsidR="005943C5" w:rsidRPr="00C728CA">
        <w:t xml:space="preserve">nehmen </w:t>
      </w:r>
      <w:r w:rsidR="002F4BD6" w:rsidRPr="00C728CA">
        <w:t xml:space="preserve">kann, erhält </w:t>
      </w:r>
      <w:r w:rsidR="005943C5" w:rsidRPr="00C728CA">
        <w:t xml:space="preserve">er </w:t>
      </w:r>
      <w:r w:rsidR="003544E7" w:rsidRPr="009808EC">
        <w:t>7</w:t>
      </w:r>
      <w:r w:rsidR="009808EC" w:rsidRPr="009808EC">
        <w:t>91</w:t>
      </w:r>
      <w:r w:rsidR="002F4BD6" w:rsidRPr="00C728CA">
        <w:t xml:space="preserve"> Euro Zuschuss, so dass seine Kosten für den Dachfensteraustausch mit </w:t>
      </w:r>
      <w:r w:rsidR="009808EC">
        <w:t>3.163</w:t>
      </w:r>
      <w:r w:rsidR="002F4BD6" w:rsidRPr="00C728CA">
        <w:t xml:space="preserve"> Euro sogar </w:t>
      </w:r>
      <w:r w:rsidR="005943C5" w:rsidRPr="00C728CA">
        <w:t xml:space="preserve">trotz der energieeffizienteren Verglasung </w:t>
      </w:r>
      <w:r w:rsidR="003544E7" w:rsidRPr="009808EC">
        <w:t>4</w:t>
      </w:r>
      <w:r w:rsidR="009808EC">
        <w:t>53</w:t>
      </w:r>
      <w:r w:rsidR="00D76576" w:rsidRPr="00C728CA">
        <w:t xml:space="preserve"> Euro </w:t>
      </w:r>
      <w:r w:rsidR="005943C5" w:rsidRPr="00C728CA">
        <w:t>niedriger sind als mit der Standardverglasung.</w:t>
      </w:r>
    </w:p>
    <w:p w14:paraId="123B86E9" w14:textId="369A05BC" w:rsidR="005943C5" w:rsidRPr="00C728CA" w:rsidRDefault="005943C5" w:rsidP="00F34A6F"/>
    <w:p w14:paraId="4DDACC0C" w14:textId="5A556CD0" w:rsidR="00895E66" w:rsidRPr="00C728CA" w:rsidRDefault="00895E66" w:rsidP="00F34A6F">
      <w:pPr>
        <w:rPr>
          <w:b/>
          <w:bCs/>
        </w:rPr>
      </w:pPr>
      <w:r w:rsidRPr="00C728CA">
        <w:rPr>
          <w:b/>
          <w:bCs/>
        </w:rPr>
        <w:t>Energieberatung erforderlich</w:t>
      </w:r>
    </w:p>
    <w:p w14:paraId="48653F7A" w14:textId="4524C308" w:rsidR="005943C5" w:rsidRPr="00E34F35" w:rsidRDefault="005943C5" w:rsidP="00F34A6F">
      <w:r w:rsidRPr="00C728CA">
        <w:t>Erwähnt werden muss, dass bei beiden Beispielen</w:t>
      </w:r>
      <w:r w:rsidR="00FB79B7" w:rsidRPr="00C728CA">
        <w:t xml:space="preserve"> </w:t>
      </w:r>
      <w:r w:rsidR="000F6BAB" w:rsidRPr="00C728CA">
        <w:t xml:space="preserve">für die Beantragung der Fördergelder </w:t>
      </w:r>
      <w:r w:rsidR="00FB79B7" w:rsidRPr="00C728CA">
        <w:t>ein Energieberater beauftragt werden muss</w:t>
      </w:r>
      <w:r w:rsidR="000F6BAB" w:rsidRPr="00C728CA">
        <w:t xml:space="preserve">, der die Energieeffizienz der Maßnahme bescheinigt. Die </w:t>
      </w:r>
      <w:r w:rsidR="000F6BAB" w:rsidRPr="00E34F35">
        <w:t>K</w:t>
      </w:r>
      <w:r w:rsidR="00F738AC" w:rsidRPr="00E34F35">
        <w:t xml:space="preserve">osten dafür variieren je nach Umfang der Beratungsleistung, sind aber </w:t>
      </w:r>
      <w:r w:rsidR="00895E66" w:rsidRPr="00E34F35">
        <w:t xml:space="preserve">für einen einfachen Fenstertausch schon ab ca. 400 Euro erhältlich. Bei Tausch mehrerer Fenster reduziert sich der Anteil der Energieberater-Kosten pro Fenster entsprechend. Zudem sind auch die Ausgaben für die Beratung förderfähig – der Staat zahlt einen Zuschuss von 50 Prozent. </w:t>
      </w:r>
    </w:p>
    <w:p w14:paraId="6E8D1CE2" w14:textId="0C38186B" w:rsidR="00895E66" w:rsidRPr="00E34F35" w:rsidRDefault="00895E66" w:rsidP="00F34A6F"/>
    <w:p w14:paraId="3C21D39F" w14:textId="4EED06A1" w:rsidR="00F34A6F" w:rsidRPr="00682CAB" w:rsidRDefault="008C0477" w:rsidP="00F34A6F">
      <w:pPr>
        <w:spacing w:after="120"/>
        <w:rPr>
          <w:b/>
        </w:rPr>
      </w:pPr>
      <w:r>
        <w:rPr>
          <w:b/>
        </w:rPr>
        <w:t>Hersteller bieten Informationen und Hilfestellung</w:t>
      </w:r>
    </w:p>
    <w:p w14:paraId="3B795C2B" w14:textId="2A3DFBDB" w:rsidR="001C4610" w:rsidRDefault="00F13BD5" w:rsidP="00F34A6F">
      <w:r>
        <w:t>Handwerksbetriebe</w:t>
      </w:r>
      <w:r w:rsidR="006C57F3">
        <w:t>,</w:t>
      </w:r>
      <w:r>
        <w:t xml:space="preserve"> die si</w:t>
      </w:r>
      <w:r w:rsidR="006C57F3">
        <w:t>ch</w:t>
      </w:r>
      <w:r>
        <w:t xml:space="preserve"> nicht detailliert mit den Fördermöglichkeiten beschäftigen wollen, sollten ihre</w:t>
      </w:r>
      <w:r w:rsidR="006C57F3">
        <w:t>n</w:t>
      </w:r>
      <w:r>
        <w:t xml:space="preserve"> Kunden zumindest die existierenden Programme</w:t>
      </w:r>
      <w:r w:rsidR="006C57F3">
        <w:t xml:space="preserve"> empfehlen</w:t>
      </w:r>
      <w:r>
        <w:t xml:space="preserve">. Zudem können sie </w:t>
      </w:r>
      <w:r w:rsidR="006C57F3">
        <w:t>darauf hinweisen</w:t>
      </w:r>
      <w:r>
        <w:t>, dass Hersteller wie etwa Velux ausführliche Informationen auf ihren Websites</w:t>
      </w:r>
      <w:r w:rsidR="001C4610">
        <w:t xml:space="preserve"> anbieten</w:t>
      </w:r>
      <w:r w:rsidR="008C0477">
        <w:t xml:space="preserve"> ( </w:t>
      </w:r>
      <w:hyperlink r:id="rId11" w:history="1">
        <w:r w:rsidR="008C0477" w:rsidRPr="00002338">
          <w:rPr>
            <w:rStyle w:val="Hyperlink"/>
          </w:rPr>
          <w:t>www.velux.de/förderung</w:t>
        </w:r>
      </w:hyperlink>
      <w:r w:rsidR="008C0477">
        <w:t xml:space="preserve"> )</w:t>
      </w:r>
      <w:r w:rsidR="001C4610">
        <w:t>. Dort ist zudem ein Fördergeld-Check vorhanden, der nach Eingabe nur weniger Informationen zum persönlichen Bauvorhaben ausweist, ob dies förderfähig ist. Auch die für das Beantragen sta</w:t>
      </w:r>
      <w:r w:rsidR="00FA37D8">
        <w:t>atlicher Zuschüsse und Kredite erforderlichen Energieberater können Bauherren dort für ihr</w:t>
      </w:r>
      <w:r w:rsidR="008D0919">
        <w:t>e</w:t>
      </w:r>
      <w:r w:rsidR="00FA37D8">
        <w:t xml:space="preserve"> Region suchen. </w:t>
      </w:r>
    </w:p>
    <w:p w14:paraId="26F3C51F" w14:textId="3CF93615" w:rsidR="009808EC" w:rsidRDefault="009808EC" w:rsidP="00F34A6F"/>
    <w:p w14:paraId="11441985" w14:textId="77777777" w:rsidR="009808EC" w:rsidRDefault="009808EC" w:rsidP="009808EC"/>
    <w:p w14:paraId="7C93AD6C" w14:textId="77777777" w:rsidR="009808EC" w:rsidRPr="009808EC" w:rsidRDefault="009808EC" w:rsidP="009808EC">
      <w:pPr>
        <w:pBdr>
          <w:top w:val="single" w:sz="4" w:space="1" w:color="auto"/>
          <w:left w:val="single" w:sz="4" w:space="4" w:color="auto"/>
          <w:bottom w:val="single" w:sz="4" w:space="1" w:color="auto"/>
          <w:right w:val="single" w:sz="4" w:space="4" w:color="auto"/>
        </w:pBdr>
        <w:ind w:left="567" w:right="565"/>
        <w:rPr>
          <w:b/>
          <w:bCs/>
        </w:rPr>
      </w:pPr>
      <w:r w:rsidRPr="009808EC">
        <w:rPr>
          <w:b/>
          <w:bCs/>
        </w:rPr>
        <w:lastRenderedPageBreak/>
        <w:t>Hintergrundinformation</w:t>
      </w:r>
    </w:p>
    <w:p w14:paraId="48710B95" w14:textId="0DF71050" w:rsidR="009808EC" w:rsidRDefault="00666147" w:rsidP="009808EC">
      <w:pPr>
        <w:pBdr>
          <w:top w:val="single" w:sz="4" w:space="1" w:color="auto"/>
          <w:left w:val="single" w:sz="4" w:space="4" w:color="auto"/>
          <w:bottom w:val="single" w:sz="4" w:space="1" w:color="auto"/>
          <w:right w:val="single" w:sz="4" w:space="4" w:color="auto"/>
        </w:pBdr>
        <w:ind w:left="567" w:right="565"/>
      </w:pPr>
      <w:r w:rsidRPr="00666147">
        <w:t>Neben der vorübergehend gestoppten bundeseinheitlichen KfW Effizienzhaus-Förderung existieren auch eine Vielzahl</w:t>
      </w:r>
      <w:r>
        <w:t xml:space="preserve"> </w:t>
      </w:r>
      <w:r w:rsidR="009808EC">
        <w:t xml:space="preserve">von regionalen Förderprogrammen, welche aber von Bundesland zu Bundesland sehr unterschiedlich sind. Ansprechpartner sind dafür die örtlichen Landesbanken und Energieberater. Velux bietet ein PDF mit Informationen dazu kostenlos zum Download unter: </w:t>
      </w:r>
      <w:hyperlink r:id="rId12" w:history="1">
        <w:r w:rsidR="008E5279" w:rsidRPr="00362EFD">
          <w:rPr>
            <w:rStyle w:val="Hyperlink"/>
          </w:rPr>
          <w:t>www.velux.de/förderung</w:t>
        </w:r>
      </w:hyperlink>
      <w:r w:rsidR="008E5279">
        <w:t xml:space="preserve"> </w:t>
      </w:r>
    </w:p>
    <w:p w14:paraId="33D63D01" w14:textId="77777777" w:rsidR="009808EC" w:rsidRDefault="009808EC" w:rsidP="009808EC">
      <w:pPr>
        <w:spacing w:line="240" w:lineRule="auto"/>
      </w:pPr>
    </w:p>
    <w:p w14:paraId="3CEF1C17" w14:textId="77777777" w:rsidR="009808EC" w:rsidRDefault="009808EC" w:rsidP="009808EC">
      <w:pPr>
        <w:pBdr>
          <w:top w:val="single" w:sz="4" w:space="1" w:color="auto"/>
          <w:bottom w:val="single" w:sz="4" w:space="1" w:color="auto"/>
        </w:pBdr>
        <w:spacing w:line="240" w:lineRule="auto"/>
      </w:pPr>
    </w:p>
    <w:p w14:paraId="3C157832" w14:textId="77777777" w:rsidR="009808EC" w:rsidRDefault="009808EC" w:rsidP="009808EC">
      <w:pPr>
        <w:pBdr>
          <w:top w:val="single" w:sz="4" w:space="1" w:color="auto"/>
          <w:bottom w:val="single" w:sz="4" w:space="1" w:color="auto"/>
        </w:pBdr>
        <w:spacing w:line="240" w:lineRule="auto"/>
      </w:pPr>
      <w:r>
        <w:t xml:space="preserve">* </w:t>
      </w:r>
      <w:r w:rsidRPr="009808EC">
        <w:rPr>
          <w:i/>
          <w:iCs/>
        </w:rPr>
        <w:t>Alle Kostenangaben inklusive Mehrwertsteuer.</w:t>
      </w:r>
    </w:p>
    <w:p w14:paraId="1EB0E7D7" w14:textId="77777777" w:rsidR="009808EC" w:rsidRDefault="009808EC" w:rsidP="009808EC">
      <w:pPr>
        <w:pBdr>
          <w:top w:val="single" w:sz="4" w:space="1" w:color="auto"/>
          <w:bottom w:val="single" w:sz="4" w:space="1" w:color="auto"/>
        </w:pBdr>
        <w:spacing w:line="240" w:lineRule="auto"/>
      </w:pPr>
    </w:p>
    <w:p w14:paraId="03BAD623" w14:textId="77777777" w:rsidR="009808EC" w:rsidRDefault="009808EC" w:rsidP="009808EC">
      <w:pPr>
        <w:spacing w:line="240" w:lineRule="auto"/>
      </w:pPr>
    </w:p>
    <w:p w14:paraId="78C05AAB" w14:textId="3376D5F6" w:rsidR="009808EC" w:rsidRDefault="009808EC">
      <w:pPr>
        <w:spacing w:line="240" w:lineRule="auto"/>
      </w:pPr>
      <w:r>
        <w:br w:type="page"/>
      </w:r>
    </w:p>
    <w:p w14:paraId="75F0434E" w14:textId="77777777" w:rsidR="00FE339E" w:rsidRPr="00EC1042" w:rsidRDefault="00FE339E" w:rsidP="00FE339E">
      <w:pPr>
        <w:rPr>
          <w:b/>
        </w:rPr>
      </w:pPr>
      <w:r w:rsidRPr="00EC1042">
        <w:rPr>
          <w:b/>
        </w:rPr>
        <w:lastRenderedPageBreak/>
        <w:t>Bildunterschrift</w:t>
      </w:r>
      <w:r>
        <w:rPr>
          <w:b/>
        </w:rPr>
        <w:t>en</w:t>
      </w:r>
    </w:p>
    <w:p w14:paraId="1D52FF73" w14:textId="77777777" w:rsidR="00FE339E" w:rsidRDefault="00FE339E" w:rsidP="00FE339E">
      <w:pPr>
        <w:rPr>
          <w:b/>
          <w:bCs/>
        </w:rPr>
      </w:pPr>
      <w:r>
        <w:rPr>
          <w:noProof/>
        </w:rPr>
        <w:drawing>
          <wp:inline distT="0" distB="0" distL="0" distR="0" wp14:anchorId="473AAFCA" wp14:editId="3176BA51">
            <wp:extent cx="4320000" cy="2871593"/>
            <wp:effectExtent l="0" t="0" r="4445" b="5080"/>
            <wp:docPr id="4" name="Grafik 4" descr="Ein Bild, das Himmel, draußen, Dach,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Himmel, draußen, Dach, Gebäude enthält.&#10;&#10;Automatisch generierte Beschreibung"/>
                    <pic:cNvPicPr/>
                  </pic:nvPicPr>
                  <pic:blipFill>
                    <a:blip r:embed="rId13"/>
                    <a:stretch>
                      <a:fillRect/>
                    </a:stretch>
                  </pic:blipFill>
                  <pic:spPr>
                    <a:xfrm>
                      <a:off x="0" y="0"/>
                      <a:ext cx="4320000" cy="2871593"/>
                    </a:xfrm>
                    <a:prstGeom prst="rect">
                      <a:avLst/>
                    </a:prstGeom>
                  </pic:spPr>
                </pic:pic>
              </a:graphicData>
            </a:graphic>
          </wp:inline>
        </w:drawing>
      </w:r>
    </w:p>
    <w:p w14:paraId="141E98DA" w14:textId="77777777" w:rsidR="00FE339E" w:rsidRPr="00EC1042" w:rsidRDefault="00FE339E" w:rsidP="00FE339E">
      <w:r>
        <w:t>[Foto</w:t>
      </w:r>
      <w:r w:rsidRPr="00EC1042">
        <w:t xml:space="preserve">: </w:t>
      </w:r>
      <w:r>
        <w:t>velux_</w:t>
      </w:r>
      <w:r w:rsidRPr="00361386">
        <w:t>139663-01</w:t>
      </w:r>
      <w:r w:rsidRPr="00EC1042">
        <w:t>]</w:t>
      </w:r>
    </w:p>
    <w:p w14:paraId="74DA8DE7" w14:textId="21012422" w:rsidR="00FE339E" w:rsidRPr="00564E5A" w:rsidRDefault="00294EB6" w:rsidP="00FE339E">
      <w:pPr>
        <w:rPr>
          <w:rFonts w:cs="Arial"/>
          <w:bCs/>
          <w:i/>
          <w:iCs/>
          <w:color w:val="000000" w:themeColor="text1"/>
          <w:szCs w:val="22"/>
        </w:rPr>
      </w:pPr>
      <w:r>
        <w:rPr>
          <w:rFonts w:cs="Arial"/>
          <w:bCs/>
          <w:i/>
          <w:iCs/>
          <w:color w:val="000000" w:themeColor="text1"/>
          <w:szCs w:val="22"/>
        </w:rPr>
        <w:t xml:space="preserve">Personen, die ihre alten </w:t>
      </w:r>
      <w:r w:rsidR="00FE339E" w:rsidRPr="00564E5A">
        <w:rPr>
          <w:rFonts w:cs="Arial"/>
          <w:bCs/>
          <w:i/>
          <w:iCs/>
          <w:color w:val="000000" w:themeColor="text1"/>
          <w:szCs w:val="22"/>
        </w:rPr>
        <w:t>Dachfenster</w:t>
      </w:r>
      <w:r>
        <w:rPr>
          <w:rFonts w:cs="Arial"/>
          <w:bCs/>
          <w:i/>
          <w:iCs/>
          <w:color w:val="000000" w:themeColor="text1"/>
          <w:szCs w:val="22"/>
        </w:rPr>
        <w:t xml:space="preserve"> gegen energieeffiziente Modelle a</w:t>
      </w:r>
      <w:r w:rsidR="00FE339E" w:rsidRPr="00564E5A">
        <w:rPr>
          <w:rFonts w:cs="Arial"/>
          <w:bCs/>
          <w:i/>
          <w:iCs/>
          <w:color w:val="000000" w:themeColor="text1"/>
          <w:szCs w:val="22"/>
        </w:rPr>
        <w:t>ustausch</w:t>
      </w:r>
      <w:r>
        <w:rPr>
          <w:rFonts w:cs="Arial"/>
          <w:bCs/>
          <w:i/>
          <w:iCs/>
          <w:color w:val="000000" w:themeColor="text1"/>
          <w:szCs w:val="22"/>
        </w:rPr>
        <w:t>en</w:t>
      </w:r>
      <w:r w:rsidR="00D97373">
        <w:rPr>
          <w:rFonts w:cs="Arial"/>
          <w:bCs/>
          <w:i/>
          <w:iCs/>
          <w:color w:val="000000" w:themeColor="text1"/>
          <w:szCs w:val="22"/>
        </w:rPr>
        <w:t>,</w:t>
      </w:r>
      <w:r w:rsidR="00FE339E" w:rsidRPr="00564E5A">
        <w:rPr>
          <w:rFonts w:cs="Arial"/>
          <w:bCs/>
          <w:i/>
          <w:iCs/>
          <w:color w:val="000000" w:themeColor="text1"/>
          <w:szCs w:val="22"/>
        </w:rPr>
        <w:t xml:space="preserve"> </w:t>
      </w:r>
      <w:r>
        <w:rPr>
          <w:rFonts w:cs="Arial"/>
          <w:bCs/>
          <w:i/>
          <w:iCs/>
          <w:color w:val="000000" w:themeColor="text1"/>
          <w:szCs w:val="22"/>
        </w:rPr>
        <w:t>k</w:t>
      </w:r>
      <w:r w:rsidR="00FE339E">
        <w:rPr>
          <w:rFonts w:cs="Arial"/>
          <w:bCs/>
          <w:i/>
          <w:iCs/>
          <w:color w:val="000000" w:themeColor="text1"/>
          <w:szCs w:val="22"/>
        </w:rPr>
        <w:t xml:space="preserve">önnen </w:t>
      </w:r>
      <w:r w:rsidR="00FE339E" w:rsidRPr="00564E5A">
        <w:rPr>
          <w:rFonts w:cs="Arial"/>
          <w:bCs/>
          <w:i/>
          <w:iCs/>
          <w:color w:val="000000" w:themeColor="text1"/>
          <w:szCs w:val="22"/>
        </w:rPr>
        <w:t>dank staatlicher Förderprogramm</w:t>
      </w:r>
      <w:r w:rsidR="00FE339E">
        <w:rPr>
          <w:rFonts w:cs="Arial"/>
          <w:bCs/>
          <w:i/>
          <w:iCs/>
          <w:color w:val="000000" w:themeColor="text1"/>
          <w:szCs w:val="22"/>
        </w:rPr>
        <w:t>e</w:t>
      </w:r>
      <w:r w:rsidR="00FE339E" w:rsidRPr="00564E5A">
        <w:rPr>
          <w:rFonts w:cs="Arial"/>
          <w:bCs/>
          <w:i/>
          <w:iCs/>
          <w:color w:val="000000" w:themeColor="text1"/>
          <w:szCs w:val="22"/>
        </w:rPr>
        <w:t xml:space="preserve"> </w:t>
      </w:r>
      <w:r>
        <w:rPr>
          <w:rFonts w:cs="Arial"/>
          <w:bCs/>
          <w:i/>
          <w:iCs/>
          <w:color w:val="000000" w:themeColor="text1"/>
          <w:szCs w:val="22"/>
        </w:rPr>
        <w:t xml:space="preserve">beachtliche </w:t>
      </w:r>
      <w:r w:rsidR="00FE339E">
        <w:rPr>
          <w:rFonts w:cs="Arial"/>
          <w:bCs/>
          <w:i/>
          <w:iCs/>
          <w:color w:val="000000" w:themeColor="text1"/>
          <w:szCs w:val="22"/>
        </w:rPr>
        <w:t xml:space="preserve">Zuschüsse für </w:t>
      </w:r>
      <w:r>
        <w:rPr>
          <w:rFonts w:cs="Arial"/>
          <w:bCs/>
          <w:i/>
          <w:iCs/>
          <w:color w:val="000000" w:themeColor="text1"/>
          <w:szCs w:val="22"/>
        </w:rPr>
        <w:t>Produkt- und Handwerkerkosten erhalten</w:t>
      </w:r>
      <w:r w:rsidR="00FE339E" w:rsidRPr="00564E5A">
        <w:rPr>
          <w:rFonts w:cs="Arial"/>
          <w:bCs/>
          <w:i/>
          <w:iCs/>
          <w:color w:val="000000" w:themeColor="text1"/>
          <w:szCs w:val="22"/>
        </w:rPr>
        <w:t>.</w:t>
      </w:r>
    </w:p>
    <w:p w14:paraId="7F82C549" w14:textId="77777777" w:rsidR="00FE339E" w:rsidRPr="00EC1042" w:rsidRDefault="00FE339E" w:rsidP="00FE339E">
      <w:pPr>
        <w:jc w:val="right"/>
        <w:rPr>
          <w:i/>
        </w:rPr>
      </w:pPr>
      <w:r w:rsidRPr="00EC1042">
        <w:rPr>
          <w:i/>
        </w:rPr>
        <w:t xml:space="preserve">Foto: </w:t>
      </w:r>
      <w:r>
        <w:rPr>
          <w:i/>
        </w:rPr>
        <w:t>Velux</w:t>
      </w:r>
      <w:r w:rsidRPr="00EC1042">
        <w:rPr>
          <w:i/>
        </w:rPr>
        <w:t xml:space="preserve"> Deutschland GmbH</w:t>
      </w:r>
    </w:p>
    <w:p w14:paraId="220EC52F" w14:textId="77777777" w:rsidR="00FE339E" w:rsidRDefault="00FE339E" w:rsidP="00FE339E">
      <w:r>
        <w:rPr>
          <w:noProof/>
        </w:rPr>
        <w:drawing>
          <wp:inline distT="0" distB="0" distL="0" distR="0" wp14:anchorId="32D6786A" wp14:editId="68D63CD1">
            <wp:extent cx="3600000" cy="2391680"/>
            <wp:effectExtent l="0" t="0" r="635" b="8890"/>
            <wp:docPr id="1" name="Grafik 1" descr="Ein Bild, das drinnen, Boden, lebend,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Boden, lebend, Wand enthält.&#10;&#10;Automatisch generierte Beschreibung"/>
                    <pic:cNvPicPr/>
                  </pic:nvPicPr>
                  <pic:blipFill>
                    <a:blip r:embed="rId14" cstate="print">
                      <a:extLst>
                        <a:ext uri="{28A0092B-C50C-407E-A947-70E740481C1C}">
                          <a14:useLocalDpi xmlns:a14="http://schemas.microsoft.com/office/drawing/2010/main"/>
                        </a:ext>
                      </a:extLst>
                    </a:blip>
                    <a:stretch>
                      <a:fillRect/>
                    </a:stretch>
                  </pic:blipFill>
                  <pic:spPr>
                    <a:xfrm>
                      <a:off x="0" y="0"/>
                      <a:ext cx="3600000" cy="2391680"/>
                    </a:xfrm>
                    <a:prstGeom prst="rect">
                      <a:avLst/>
                    </a:prstGeom>
                  </pic:spPr>
                </pic:pic>
              </a:graphicData>
            </a:graphic>
          </wp:inline>
        </w:drawing>
      </w:r>
    </w:p>
    <w:p w14:paraId="2BAF60B6" w14:textId="77777777" w:rsidR="00FE339E" w:rsidRPr="00EC1042" w:rsidRDefault="00FE339E" w:rsidP="00FE339E">
      <w:r>
        <w:t>[Foto</w:t>
      </w:r>
      <w:r w:rsidRPr="00EC1042">
        <w:t xml:space="preserve">: </w:t>
      </w:r>
      <w:r w:rsidRPr="00DE0365">
        <w:t>velux_</w:t>
      </w:r>
      <w:r>
        <w:t>pm_förderprogramme</w:t>
      </w:r>
      <w:r w:rsidRPr="00DE0365">
        <w:t>_1</w:t>
      </w:r>
      <w:r>
        <w:t>38411-01</w:t>
      </w:r>
      <w:r w:rsidRPr="00EC1042">
        <w:t>]</w:t>
      </w:r>
    </w:p>
    <w:p w14:paraId="021DE848" w14:textId="49DBF9A2" w:rsidR="00FE339E" w:rsidRPr="00564E5A" w:rsidRDefault="00FE339E" w:rsidP="00FE339E">
      <w:pPr>
        <w:rPr>
          <w:rFonts w:cs="Arial"/>
          <w:bCs/>
          <w:i/>
          <w:iCs/>
          <w:color w:val="000000" w:themeColor="text1"/>
          <w:szCs w:val="22"/>
        </w:rPr>
      </w:pPr>
      <w:r w:rsidRPr="00564E5A">
        <w:rPr>
          <w:rFonts w:cs="Arial"/>
          <w:bCs/>
          <w:i/>
          <w:iCs/>
          <w:color w:val="000000" w:themeColor="text1"/>
          <w:szCs w:val="22"/>
        </w:rPr>
        <w:t xml:space="preserve">Der Staat fördert </w:t>
      </w:r>
      <w:r>
        <w:rPr>
          <w:rFonts w:cs="Arial"/>
          <w:bCs/>
          <w:i/>
          <w:iCs/>
          <w:color w:val="000000" w:themeColor="text1"/>
          <w:szCs w:val="22"/>
        </w:rPr>
        <w:t>den Einbau energieeffizienter Dachfenster. Handwerksbetriebe können dadurch</w:t>
      </w:r>
      <w:r w:rsidRPr="00564E5A">
        <w:rPr>
          <w:rFonts w:cs="Arial"/>
          <w:bCs/>
          <w:i/>
          <w:iCs/>
          <w:color w:val="000000" w:themeColor="text1"/>
          <w:szCs w:val="22"/>
        </w:rPr>
        <w:t xml:space="preserve"> </w:t>
      </w:r>
      <w:r>
        <w:rPr>
          <w:rFonts w:cs="Arial"/>
          <w:bCs/>
          <w:i/>
          <w:iCs/>
          <w:color w:val="000000" w:themeColor="text1"/>
          <w:szCs w:val="22"/>
        </w:rPr>
        <w:t>vom höherwertigen Verkauf profitieren.</w:t>
      </w:r>
    </w:p>
    <w:p w14:paraId="5064D48B" w14:textId="2E257F3F" w:rsidR="00FE339E" w:rsidRDefault="00FE339E" w:rsidP="00FE339E">
      <w:pPr>
        <w:jc w:val="right"/>
        <w:rPr>
          <w:i/>
        </w:rPr>
      </w:pPr>
      <w:r w:rsidRPr="00EC1042">
        <w:rPr>
          <w:i/>
        </w:rPr>
        <w:t xml:space="preserve">Foto: </w:t>
      </w:r>
      <w:r>
        <w:rPr>
          <w:i/>
        </w:rPr>
        <w:t>Velux</w:t>
      </w:r>
      <w:r w:rsidRPr="00EC1042">
        <w:rPr>
          <w:i/>
        </w:rPr>
        <w:t xml:space="preserve"> Deutschland GmbH</w:t>
      </w:r>
    </w:p>
    <w:p w14:paraId="6F8F5E83" w14:textId="0FE88EF2" w:rsidR="008E5279" w:rsidRDefault="008E5279" w:rsidP="008E5279">
      <w:pPr>
        <w:rPr>
          <w:i/>
        </w:rPr>
      </w:pPr>
      <w:r>
        <w:rPr>
          <w:i/>
          <w:noProof/>
        </w:rPr>
        <w:lastRenderedPageBreak/>
        <w:drawing>
          <wp:inline distT="0" distB="0" distL="0" distR="0" wp14:anchorId="1943672F" wp14:editId="38142D64">
            <wp:extent cx="3960000" cy="1593697"/>
            <wp:effectExtent l="0" t="0" r="254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0000" cy="1593697"/>
                    </a:xfrm>
                    <a:prstGeom prst="rect">
                      <a:avLst/>
                    </a:prstGeom>
                  </pic:spPr>
                </pic:pic>
              </a:graphicData>
            </a:graphic>
          </wp:inline>
        </w:drawing>
      </w:r>
    </w:p>
    <w:p w14:paraId="1C80F6F2" w14:textId="202386C3" w:rsidR="008E5279" w:rsidRPr="00EC1042" w:rsidRDefault="008E5279" w:rsidP="008E5279">
      <w:r>
        <w:t>[Foto</w:t>
      </w:r>
      <w:r w:rsidRPr="00EC1042">
        <w:t xml:space="preserve">: </w:t>
      </w:r>
      <w:r w:rsidRPr="00DE0365">
        <w:t>velux_</w:t>
      </w:r>
      <w:r>
        <w:t>foerderbeispiel</w:t>
      </w:r>
      <w:r w:rsidRPr="00DE0365">
        <w:t>_</w:t>
      </w:r>
      <w:r>
        <w:t>1</w:t>
      </w:r>
      <w:r w:rsidRPr="00EC1042">
        <w:t>]</w:t>
      </w:r>
    </w:p>
    <w:p w14:paraId="625A6465" w14:textId="1B94C326" w:rsidR="008E5279" w:rsidRDefault="001C2BA8" w:rsidP="008E5279">
      <w:pPr>
        <w:jc w:val="right"/>
        <w:rPr>
          <w:i/>
        </w:rPr>
      </w:pPr>
      <w:r>
        <w:rPr>
          <w:i/>
        </w:rPr>
        <w:t>Grafik</w:t>
      </w:r>
      <w:r w:rsidR="008E5279" w:rsidRPr="00EC1042">
        <w:rPr>
          <w:i/>
        </w:rPr>
        <w:t xml:space="preserve">: </w:t>
      </w:r>
      <w:r w:rsidR="008E5279">
        <w:rPr>
          <w:i/>
        </w:rPr>
        <w:t>Velux</w:t>
      </w:r>
      <w:r w:rsidR="008E5279" w:rsidRPr="00EC1042">
        <w:rPr>
          <w:i/>
        </w:rPr>
        <w:t xml:space="preserve"> Deutschland GmbH</w:t>
      </w:r>
    </w:p>
    <w:p w14:paraId="350F52C3" w14:textId="77777777" w:rsidR="001C2BA8" w:rsidRDefault="001C2BA8" w:rsidP="008E5279">
      <w:pPr>
        <w:jc w:val="right"/>
        <w:rPr>
          <w:i/>
        </w:rPr>
      </w:pPr>
    </w:p>
    <w:p w14:paraId="2D88B72E" w14:textId="36BFD0D7" w:rsidR="008E5279" w:rsidRDefault="008E5279" w:rsidP="008E5279">
      <w:pPr>
        <w:rPr>
          <w:i/>
        </w:rPr>
      </w:pPr>
      <w:r>
        <w:rPr>
          <w:i/>
          <w:noProof/>
        </w:rPr>
        <w:drawing>
          <wp:inline distT="0" distB="0" distL="0" distR="0" wp14:anchorId="77BB9CD9" wp14:editId="3086E1F5">
            <wp:extent cx="3960000" cy="1609533"/>
            <wp:effectExtent l="0" t="0" r="254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0000" cy="1609533"/>
                    </a:xfrm>
                    <a:prstGeom prst="rect">
                      <a:avLst/>
                    </a:prstGeom>
                  </pic:spPr>
                </pic:pic>
              </a:graphicData>
            </a:graphic>
          </wp:inline>
        </w:drawing>
      </w:r>
    </w:p>
    <w:p w14:paraId="62B42BAD" w14:textId="6D488E00" w:rsidR="008E5279" w:rsidRPr="00EC1042" w:rsidRDefault="008E5279" w:rsidP="008E5279">
      <w:r>
        <w:t>[Foto</w:t>
      </w:r>
      <w:r w:rsidRPr="00EC1042">
        <w:t xml:space="preserve">: </w:t>
      </w:r>
      <w:r w:rsidRPr="00DE0365">
        <w:t>velux_</w:t>
      </w:r>
      <w:r w:rsidRPr="008E5279">
        <w:t xml:space="preserve"> velux_foerderbeispiel_</w:t>
      </w:r>
      <w:r>
        <w:t>2</w:t>
      </w:r>
      <w:r w:rsidRPr="00EC1042">
        <w:t>]</w:t>
      </w:r>
    </w:p>
    <w:p w14:paraId="532073BC" w14:textId="34032AFD" w:rsidR="008E5279" w:rsidRPr="00EC1042" w:rsidRDefault="008E5279" w:rsidP="008E5279">
      <w:pPr>
        <w:jc w:val="right"/>
        <w:rPr>
          <w:i/>
        </w:rPr>
      </w:pPr>
      <w:r>
        <w:rPr>
          <w:i/>
        </w:rPr>
        <w:t>Grafik</w:t>
      </w:r>
      <w:r w:rsidRPr="00EC1042">
        <w:rPr>
          <w:i/>
        </w:rPr>
        <w:t xml:space="preserve">: </w:t>
      </w:r>
      <w:r>
        <w:rPr>
          <w:i/>
        </w:rPr>
        <w:t>Velux</w:t>
      </w:r>
      <w:r w:rsidRPr="00EC1042">
        <w:rPr>
          <w:i/>
        </w:rPr>
        <w:t xml:space="preserve"> Deutschland GmbH</w:t>
      </w:r>
    </w:p>
    <w:p w14:paraId="188FE0EA" w14:textId="77777777" w:rsidR="008E5279" w:rsidRPr="00EC1042" w:rsidRDefault="008E5279" w:rsidP="008E5279">
      <w:pPr>
        <w:jc w:val="right"/>
        <w:rPr>
          <w:i/>
        </w:rPr>
      </w:pPr>
    </w:p>
    <w:p w14:paraId="523004C4" w14:textId="77777777" w:rsidR="00F34A6F" w:rsidRPr="003165ED" w:rsidRDefault="00F34A6F">
      <w:pPr>
        <w:rPr>
          <w:rFonts w:cs="Arial"/>
          <w:b/>
          <w:bCs/>
          <w:sz w:val="20"/>
          <w:szCs w:val="20"/>
        </w:rPr>
      </w:pPr>
    </w:p>
    <w:p w14:paraId="6D45D5C7" w14:textId="77777777" w:rsidR="0075435B" w:rsidRPr="008D1A4F" w:rsidRDefault="0075435B" w:rsidP="0075435B">
      <w:pPr>
        <w:spacing w:after="120" w:line="240" w:lineRule="auto"/>
        <w:rPr>
          <w:sz w:val="20"/>
          <w:szCs w:val="20"/>
        </w:rPr>
      </w:pPr>
      <w:r w:rsidRPr="008D1A4F">
        <w:rPr>
          <w:b/>
          <w:bCs/>
          <w:sz w:val="20"/>
          <w:szCs w:val="20"/>
        </w:rPr>
        <w:t>Über die Velux Deutschland GmbH</w:t>
      </w:r>
      <w:r w:rsidRPr="008D1A4F">
        <w:rPr>
          <w:sz w:val="20"/>
          <w:szCs w:val="20"/>
        </w:rPr>
        <w:br/>
        <w:t xml:space="preserve">Die Velux Deutschland GmbH mit Sitz in Hamburg ist ein Unternehmen der internationalen Velux Gruppe. Der weltweit größte Hersteller von Dachfenstern ist mit </w:t>
      </w:r>
      <w:r>
        <w:rPr>
          <w:sz w:val="20"/>
          <w:szCs w:val="20"/>
        </w:rPr>
        <w:t>ca.</w:t>
      </w:r>
      <w:r w:rsidRPr="008D1A4F">
        <w:rPr>
          <w:sz w:val="20"/>
          <w:szCs w:val="20"/>
        </w:rPr>
        <w:t xml:space="preserve"> 11.500 Mitarbeitern in rund 40 Ländern vertreten. In Deutschland beschäftigt die Velux Gruppe in Produktion und Vertrieb über 1.600 Mitarbeiter. Neben Dachfenstern und anspruchsvollen Dachfensterlösungen für geneigte und flache Dächer umfasst die Produktpalette unter anderem Sonnenschutzprodukte, Rollläden und Zubehörprodukte für den Fenstereinbau. Smart-Home-Lösungen und automatisierte Systeme tragen zu einem gesunden Raumklima bei und steigern den Wohnkomfort</w:t>
      </w:r>
      <w:r>
        <w:rPr>
          <w:sz w:val="20"/>
          <w:szCs w:val="20"/>
        </w:rPr>
        <w:t xml:space="preserve">. </w:t>
      </w:r>
      <w:r w:rsidRPr="008D1A4F">
        <w:rPr>
          <w:sz w:val="20"/>
          <w:szCs w:val="20"/>
        </w:rPr>
        <w:t xml:space="preserve">Mit Velux Commercial bietet ein eigener Unternehmensbereich Tageslicht-Lösungen speziell für gewerbliche, öffentliche und industrielle Gebäude. </w:t>
      </w:r>
      <w:r w:rsidRPr="007764C7">
        <w:rPr>
          <w:sz w:val="20"/>
          <w:szCs w:val="20"/>
        </w:rPr>
        <w:t>Im Rahmen ihrer Nachhaltigkeitsstrategie hat sich die V</w:t>
      </w:r>
      <w:r>
        <w:rPr>
          <w:sz w:val="20"/>
          <w:szCs w:val="20"/>
        </w:rPr>
        <w:t>elux</w:t>
      </w:r>
      <w:r w:rsidRPr="007764C7">
        <w:rPr>
          <w:sz w:val="20"/>
          <w:szCs w:val="20"/>
        </w:rPr>
        <w:t xml:space="preserve"> Gruppe verpflichtet, zukünftige CO</w:t>
      </w:r>
      <w:r w:rsidRPr="00774901">
        <w:rPr>
          <w:sz w:val="20"/>
          <w:szCs w:val="20"/>
          <w:vertAlign w:val="subscript"/>
        </w:rPr>
        <w:t>2</w:t>
      </w:r>
      <w:r w:rsidRPr="007764C7">
        <w:rPr>
          <w:sz w:val="20"/>
          <w:szCs w:val="20"/>
        </w:rPr>
        <w:t>-Emissionen im Einklang mit dem 1,5°C-Ziel des Pariser Klimaschutz-Abkommens deutlich zu reduzieren und bis 2041 „lebenslang klimaneutral“ zu werden. Dies realisiert sie gemeinsam mit dem WWF durch Waldprojekte, die alle seit Gründung im Jahr 1941 verursachten CO</w:t>
      </w:r>
      <w:r w:rsidRPr="00774901">
        <w:rPr>
          <w:sz w:val="20"/>
          <w:szCs w:val="20"/>
          <w:vertAlign w:val="subscript"/>
        </w:rPr>
        <w:t>2</w:t>
      </w:r>
      <w:r w:rsidRPr="007764C7">
        <w:rPr>
          <w:sz w:val="20"/>
          <w:szCs w:val="20"/>
        </w:rPr>
        <w:t>-Emissionen binden werden.</w:t>
      </w:r>
    </w:p>
    <w:p w14:paraId="2B271873" w14:textId="77777777" w:rsidR="0075435B" w:rsidRPr="008D1A4F" w:rsidRDefault="0075435B" w:rsidP="0075435B">
      <w:pPr>
        <w:spacing w:line="240" w:lineRule="auto"/>
        <w:rPr>
          <w:rFonts w:cs="Arial"/>
          <w:sz w:val="20"/>
          <w:szCs w:val="20"/>
        </w:rPr>
      </w:pPr>
      <w:r w:rsidRPr="008D1A4F">
        <w:rPr>
          <w:rFonts w:cs="Arial"/>
          <w:sz w:val="20"/>
          <w:szCs w:val="20"/>
        </w:rPr>
        <w:t xml:space="preserve">Weitere Informationen unter </w:t>
      </w:r>
      <w:hyperlink r:id="rId17" w:history="1">
        <w:r w:rsidRPr="008D1A4F">
          <w:rPr>
            <w:rStyle w:val="Hyperlink"/>
            <w:rFonts w:cs="Arial"/>
            <w:sz w:val="20"/>
            <w:szCs w:val="20"/>
          </w:rPr>
          <w:t>www.velux.de</w:t>
        </w:r>
      </w:hyperlink>
      <w:r w:rsidRPr="008D1A4F">
        <w:rPr>
          <w:rFonts w:cs="Arial"/>
          <w:sz w:val="20"/>
          <w:szCs w:val="20"/>
        </w:rPr>
        <w:t>.</w:t>
      </w:r>
    </w:p>
    <w:p w14:paraId="15E1AFA6" w14:textId="77777777" w:rsidR="0075435B" w:rsidRPr="001C1C18" w:rsidRDefault="0075435B" w:rsidP="0075435B">
      <w:pPr>
        <w:spacing w:line="240" w:lineRule="auto"/>
        <w:rPr>
          <w:rFonts w:cs="Arial"/>
          <w:sz w:val="20"/>
          <w:szCs w:val="20"/>
          <w:u w:val="single"/>
        </w:rPr>
      </w:pPr>
      <w:r w:rsidRPr="008D1A4F">
        <w:rPr>
          <w:rFonts w:cs="Arial"/>
          <w:sz w:val="20"/>
          <w:szCs w:val="20"/>
        </w:rPr>
        <w:t xml:space="preserve">Pressetexte sowie druckfähiges Bildmaterial u.v.m. stehen im Velux Presseforum unter </w:t>
      </w:r>
      <w:hyperlink r:id="rId18" w:history="1">
        <w:r w:rsidRPr="008D1A4F">
          <w:rPr>
            <w:rStyle w:val="Hyperlink"/>
            <w:rFonts w:cs="Arial"/>
            <w:sz w:val="20"/>
            <w:szCs w:val="20"/>
          </w:rPr>
          <w:t>www.velux.de/presse</w:t>
        </w:r>
      </w:hyperlink>
      <w:r w:rsidRPr="008D1A4F">
        <w:rPr>
          <w:rFonts w:cs="Arial"/>
          <w:sz w:val="20"/>
          <w:szCs w:val="20"/>
        </w:rPr>
        <w:t xml:space="preserve"> zum Download bereit.</w:t>
      </w:r>
      <w:r w:rsidRPr="008D1A4F">
        <w:rPr>
          <w:rFonts w:cs="Arial"/>
          <w:b/>
          <w:bCs/>
          <w:sz w:val="20"/>
          <w:szCs w:val="20"/>
        </w:rPr>
        <w:br/>
      </w:r>
      <w:r>
        <w:rPr>
          <w:rFonts w:cs="Arial"/>
          <w:bCs/>
          <w:sz w:val="20"/>
          <w:szCs w:val="20"/>
        </w:rPr>
        <w:lastRenderedPageBreak/>
        <w:br/>
      </w:r>
      <w:r w:rsidRPr="00C12C51">
        <w:rPr>
          <w:rFonts w:cs="Arial"/>
          <w:b/>
          <w:bCs/>
          <w:sz w:val="20"/>
          <w:szCs w:val="20"/>
        </w:rPr>
        <w:t>Kontakt Presse:</w:t>
      </w:r>
      <w:r w:rsidRPr="00C12C51">
        <w:rPr>
          <w:rFonts w:cs="Arial"/>
          <w:b/>
          <w:bCs/>
          <w:sz w:val="20"/>
          <w:szCs w:val="20"/>
        </w:rPr>
        <w:br/>
      </w:r>
    </w:p>
    <w:tbl>
      <w:tblPr>
        <w:tblW w:w="9283" w:type="dxa"/>
        <w:tblInd w:w="-34" w:type="dxa"/>
        <w:tblLook w:val="01E0" w:firstRow="1" w:lastRow="1" w:firstColumn="1" w:lastColumn="1" w:noHBand="0" w:noVBand="0"/>
      </w:tblPr>
      <w:tblGrid>
        <w:gridCol w:w="4718"/>
        <w:gridCol w:w="4565"/>
      </w:tblGrid>
      <w:tr w:rsidR="0075435B" w:rsidRPr="00477C28" w14:paraId="0D6B8810" w14:textId="77777777" w:rsidTr="0075435B">
        <w:trPr>
          <w:trHeight w:val="2413"/>
        </w:trPr>
        <w:tc>
          <w:tcPr>
            <w:tcW w:w="4718" w:type="dxa"/>
          </w:tcPr>
          <w:p w14:paraId="40F5BB11" w14:textId="77777777" w:rsidR="0074476B" w:rsidRDefault="0074476B" w:rsidP="0074476B">
            <w:pPr>
              <w:spacing w:line="240" w:lineRule="auto"/>
              <w:rPr>
                <w:bCs/>
                <w:sz w:val="20"/>
              </w:rPr>
            </w:pPr>
            <w:r>
              <w:rPr>
                <w:bCs/>
                <w:sz w:val="20"/>
              </w:rPr>
              <w:t>Velux Deutschland GmbH</w:t>
            </w:r>
          </w:p>
          <w:p w14:paraId="2E166547" w14:textId="31737B01" w:rsidR="0074476B" w:rsidRDefault="0016355B" w:rsidP="0074476B">
            <w:pPr>
              <w:spacing w:line="240" w:lineRule="auto"/>
              <w:rPr>
                <w:bCs/>
                <w:sz w:val="20"/>
              </w:rPr>
            </w:pPr>
            <w:r>
              <w:rPr>
                <w:bCs/>
                <w:sz w:val="20"/>
              </w:rPr>
              <w:t>Leitung Public Re</w:t>
            </w:r>
            <w:r w:rsidR="00A43695">
              <w:rPr>
                <w:bCs/>
                <w:sz w:val="20"/>
              </w:rPr>
              <w:t>lations</w:t>
            </w:r>
          </w:p>
          <w:p w14:paraId="2C381010" w14:textId="77777777" w:rsidR="0074476B" w:rsidRDefault="0074476B" w:rsidP="0074476B">
            <w:pPr>
              <w:spacing w:line="240" w:lineRule="auto"/>
              <w:rPr>
                <w:bCs/>
                <w:sz w:val="20"/>
              </w:rPr>
            </w:pPr>
            <w:r>
              <w:rPr>
                <w:bCs/>
                <w:sz w:val="20"/>
              </w:rPr>
              <w:t>Maik Seete</w:t>
            </w:r>
          </w:p>
          <w:p w14:paraId="7DCD0349" w14:textId="77777777" w:rsidR="0074476B" w:rsidRDefault="0074476B" w:rsidP="0074476B">
            <w:pPr>
              <w:spacing w:line="240" w:lineRule="auto"/>
              <w:rPr>
                <w:bCs/>
                <w:sz w:val="20"/>
              </w:rPr>
            </w:pPr>
            <w:proofErr w:type="spellStart"/>
            <w:r>
              <w:rPr>
                <w:bCs/>
                <w:sz w:val="20"/>
              </w:rPr>
              <w:t>Gazellenkamp</w:t>
            </w:r>
            <w:proofErr w:type="spellEnd"/>
            <w:r>
              <w:rPr>
                <w:bCs/>
                <w:sz w:val="20"/>
              </w:rPr>
              <w:t xml:space="preserve"> 168</w:t>
            </w:r>
          </w:p>
          <w:p w14:paraId="3D0400AE" w14:textId="77777777" w:rsidR="0074476B" w:rsidRPr="00451005" w:rsidRDefault="0074476B" w:rsidP="0074476B">
            <w:pPr>
              <w:spacing w:line="240" w:lineRule="auto"/>
              <w:rPr>
                <w:bCs/>
                <w:sz w:val="20"/>
              </w:rPr>
            </w:pPr>
            <w:r w:rsidRPr="00451005">
              <w:rPr>
                <w:bCs/>
                <w:sz w:val="20"/>
              </w:rPr>
              <w:t xml:space="preserve">22502 Hamburg </w:t>
            </w:r>
          </w:p>
          <w:p w14:paraId="5D9AE21C" w14:textId="77777777" w:rsidR="0074476B" w:rsidRPr="00451005" w:rsidRDefault="0074476B" w:rsidP="0074476B">
            <w:pPr>
              <w:spacing w:line="240" w:lineRule="auto"/>
              <w:rPr>
                <w:bCs/>
                <w:sz w:val="20"/>
              </w:rPr>
            </w:pPr>
            <w:r>
              <w:rPr>
                <w:bCs/>
                <w:sz w:val="20"/>
              </w:rPr>
              <w:t>Tel.: +49 (040) 5 47 07-4 66</w:t>
            </w:r>
          </w:p>
          <w:p w14:paraId="22500CAA" w14:textId="6F05E10B" w:rsidR="0075435B" w:rsidRPr="00574481" w:rsidRDefault="0074476B" w:rsidP="0074476B">
            <w:pPr>
              <w:spacing w:line="240" w:lineRule="auto"/>
              <w:rPr>
                <w:bCs/>
                <w:sz w:val="20"/>
                <w:lang w:val="en-US"/>
              </w:rPr>
            </w:pPr>
            <w:proofErr w:type="gramStart"/>
            <w:r w:rsidRPr="003C3182">
              <w:rPr>
                <w:bCs/>
                <w:sz w:val="20"/>
                <w:lang w:val="fr-FR"/>
              </w:rPr>
              <w:t>Mail:</w:t>
            </w:r>
            <w:proofErr w:type="gramEnd"/>
            <w:r w:rsidRPr="003C3182">
              <w:rPr>
                <w:bCs/>
                <w:sz w:val="20"/>
                <w:lang w:val="fr-FR"/>
              </w:rPr>
              <w:t xml:space="preserve"> </w:t>
            </w:r>
            <w:r>
              <w:rPr>
                <w:bCs/>
                <w:sz w:val="20"/>
                <w:lang w:val="fr-FR"/>
              </w:rPr>
              <w:t>maik.seete@</w:t>
            </w:r>
            <w:r w:rsidRPr="0058173E">
              <w:rPr>
                <w:bCs/>
                <w:sz w:val="20"/>
                <w:lang w:val="fr-FR"/>
              </w:rPr>
              <w:t>velux.com</w:t>
            </w:r>
            <w:r w:rsidRPr="00574481">
              <w:rPr>
                <w:bCs/>
                <w:sz w:val="20"/>
                <w:lang w:val="en-US"/>
              </w:rPr>
              <w:t xml:space="preserve"> </w:t>
            </w:r>
          </w:p>
        </w:tc>
        <w:tc>
          <w:tcPr>
            <w:tcW w:w="4565" w:type="dxa"/>
          </w:tcPr>
          <w:p w14:paraId="7402882F" w14:textId="77777777" w:rsidR="0075435B" w:rsidRPr="00C12C51" w:rsidRDefault="0075435B" w:rsidP="0035575D">
            <w:pPr>
              <w:spacing w:line="240" w:lineRule="auto"/>
              <w:rPr>
                <w:bCs/>
                <w:sz w:val="20"/>
              </w:rPr>
            </w:pPr>
            <w:r w:rsidRPr="00C12C51">
              <w:rPr>
                <w:bCs/>
                <w:sz w:val="20"/>
              </w:rPr>
              <w:t>FAKTOR 3 AG</w:t>
            </w:r>
          </w:p>
          <w:p w14:paraId="202F5648" w14:textId="77777777" w:rsidR="0075435B" w:rsidRPr="00C12C51" w:rsidRDefault="0075435B" w:rsidP="0035575D">
            <w:pPr>
              <w:spacing w:line="240" w:lineRule="auto"/>
              <w:rPr>
                <w:bCs/>
                <w:sz w:val="20"/>
              </w:rPr>
            </w:pPr>
            <w:r>
              <w:rPr>
                <w:bCs/>
                <w:sz w:val="20"/>
              </w:rPr>
              <w:t>Velux</w:t>
            </w:r>
            <w:r w:rsidRPr="00C12C51">
              <w:rPr>
                <w:bCs/>
                <w:sz w:val="20"/>
              </w:rPr>
              <w:t xml:space="preserve"> Presseagentur</w:t>
            </w:r>
          </w:p>
          <w:p w14:paraId="530DCE83" w14:textId="77777777" w:rsidR="0075435B" w:rsidRPr="00C12C51" w:rsidRDefault="0075435B" w:rsidP="0035575D">
            <w:pPr>
              <w:spacing w:line="240" w:lineRule="auto"/>
              <w:rPr>
                <w:bCs/>
                <w:sz w:val="20"/>
              </w:rPr>
            </w:pPr>
            <w:r>
              <w:rPr>
                <w:bCs/>
                <w:sz w:val="20"/>
              </w:rPr>
              <w:t>Oliver Williges</w:t>
            </w:r>
          </w:p>
          <w:p w14:paraId="53B866EF" w14:textId="77777777" w:rsidR="0075435B" w:rsidRPr="00C12C51" w:rsidRDefault="0075435B" w:rsidP="0035575D">
            <w:pPr>
              <w:spacing w:line="240" w:lineRule="auto"/>
              <w:rPr>
                <w:bCs/>
                <w:sz w:val="20"/>
              </w:rPr>
            </w:pPr>
            <w:r w:rsidRPr="00C12C51">
              <w:rPr>
                <w:bCs/>
                <w:sz w:val="20"/>
              </w:rPr>
              <w:t>Kattunbleiche 35</w:t>
            </w:r>
          </w:p>
          <w:p w14:paraId="6451B584" w14:textId="77777777" w:rsidR="0075435B" w:rsidRPr="00641C14" w:rsidRDefault="0075435B" w:rsidP="0035575D">
            <w:pPr>
              <w:spacing w:line="240" w:lineRule="auto"/>
              <w:rPr>
                <w:bCs/>
                <w:sz w:val="20"/>
              </w:rPr>
            </w:pPr>
            <w:r w:rsidRPr="00641C14">
              <w:rPr>
                <w:bCs/>
                <w:sz w:val="20"/>
              </w:rPr>
              <w:t>22041 Hamburg</w:t>
            </w:r>
          </w:p>
          <w:p w14:paraId="2DAD68DD" w14:textId="77777777" w:rsidR="0075435B" w:rsidRPr="00641C14" w:rsidRDefault="0075435B" w:rsidP="0035575D">
            <w:pPr>
              <w:spacing w:line="240" w:lineRule="auto"/>
              <w:rPr>
                <w:bCs/>
                <w:sz w:val="20"/>
              </w:rPr>
            </w:pPr>
            <w:r w:rsidRPr="00641C14">
              <w:rPr>
                <w:bCs/>
                <w:sz w:val="20"/>
              </w:rPr>
              <w:t>Tel.: +49 (040) 67 94 46-109</w:t>
            </w:r>
          </w:p>
          <w:p w14:paraId="45A37E67" w14:textId="77777777" w:rsidR="0075435B" w:rsidRPr="00641C14" w:rsidRDefault="0075435B" w:rsidP="0035575D">
            <w:pPr>
              <w:spacing w:line="240" w:lineRule="auto"/>
              <w:rPr>
                <w:bCs/>
                <w:sz w:val="20"/>
              </w:rPr>
            </w:pPr>
            <w:r w:rsidRPr="00641C14">
              <w:rPr>
                <w:bCs/>
                <w:sz w:val="20"/>
              </w:rPr>
              <w:t>Mail: velux@faktor3.de</w:t>
            </w:r>
          </w:p>
          <w:p w14:paraId="2C352224" w14:textId="77777777" w:rsidR="0075435B" w:rsidRPr="00641C14" w:rsidRDefault="0075435B" w:rsidP="0035575D">
            <w:pPr>
              <w:spacing w:line="240" w:lineRule="auto"/>
              <w:rPr>
                <w:bCs/>
                <w:sz w:val="20"/>
              </w:rPr>
            </w:pPr>
          </w:p>
        </w:tc>
      </w:tr>
    </w:tbl>
    <w:p w14:paraId="19B0B333" w14:textId="77777777" w:rsidR="00F51B1E" w:rsidRPr="00641C14" w:rsidRDefault="00F51B1E" w:rsidP="00F51B1E">
      <w:pPr>
        <w:rPr>
          <w:rFonts w:cs="Arial"/>
          <w:b/>
          <w:bCs/>
          <w:sz w:val="16"/>
          <w:szCs w:val="16"/>
        </w:rPr>
      </w:pPr>
    </w:p>
    <w:sectPr w:rsidR="00F51B1E" w:rsidRPr="00641C14" w:rsidSect="00682CAB">
      <w:footerReference w:type="default" r:id="rId19"/>
      <w:headerReference w:type="first" r:id="rId20"/>
      <w:pgSz w:w="11906" w:h="16838" w:code="9"/>
      <w:pgMar w:top="2268" w:right="2268" w:bottom="2157"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7ED1" w14:textId="77777777" w:rsidR="00144717" w:rsidRDefault="00144717">
      <w:r>
        <w:separator/>
      </w:r>
    </w:p>
  </w:endnote>
  <w:endnote w:type="continuationSeparator" w:id="0">
    <w:p w14:paraId="65BC7B8C" w14:textId="77777777" w:rsidR="00144717" w:rsidRDefault="0014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8E5A" w14:textId="4C62A94A" w:rsidR="00A45720" w:rsidRPr="00F51B1E" w:rsidRDefault="00397186">
    <w:pPr>
      <w:pStyle w:val="Fuzeile"/>
      <w:rPr>
        <w:sz w:val="16"/>
        <w:szCs w:val="16"/>
      </w:rPr>
    </w:pPr>
    <w:r>
      <w:rPr>
        <w:sz w:val="16"/>
        <w:szCs w:val="16"/>
      </w:rPr>
      <w:t xml:space="preserve">Presseinformation: </w:t>
    </w:r>
    <w:r w:rsidR="005E0E21">
      <w:rPr>
        <w:sz w:val="16"/>
        <w:szCs w:val="16"/>
      </w:rPr>
      <w:t>Staatliche Förderung beim Dachfenstertausch</w:t>
    </w:r>
    <w:r w:rsidR="00980003">
      <w:rPr>
        <w:sz w:val="16"/>
        <w:szCs w:val="16"/>
      </w:rPr>
      <w:t xml:space="preserve"> </w:t>
    </w:r>
    <w:r w:rsidR="00A45720" w:rsidRPr="00F51B1E">
      <w:rPr>
        <w:sz w:val="16"/>
        <w:szCs w:val="16"/>
      </w:rPr>
      <w:t xml:space="preserve">/ </w:t>
    </w:r>
    <w:r w:rsidR="00F20D4B">
      <w:rPr>
        <w:sz w:val="16"/>
        <w:szCs w:val="16"/>
      </w:rPr>
      <w:t>Februar 2022</w:t>
    </w:r>
    <w:r w:rsidR="00362D7F">
      <w:rPr>
        <w:sz w:val="16"/>
        <w:szCs w:val="16"/>
      </w:rPr>
      <w:t xml:space="preserve"> </w:t>
    </w:r>
    <w:r w:rsidR="00A45720" w:rsidRPr="00F51B1E">
      <w:rPr>
        <w:sz w:val="16"/>
        <w:szCs w:val="16"/>
      </w:rPr>
      <w:t xml:space="preserve">/ Seite </w:t>
    </w:r>
    <w:r w:rsidR="00A45720" w:rsidRPr="00F51B1E">
      <w:rPr>
        <w:rStyle w:val="Seitenzahl"/>
        <w:sz w:val="16"/>
        <w:szCs w:val="16"/>
      </w:rPr>
      <w:fldChar w:fldCharType="begin"/>
    </w:r>
    <w:r w:rsidR="00A45720" w:rsidRPr="00F51B1E">
      <w:rPr>
        <w:rStyle w:val="Seitenzahl"/>
        <w:sz w:val="16"/>
        <w:szCs w:val="16"/>
      </w:rPr>
      <w:instrText xml:space="preserve"> PAGE </w:instrText>
    </w:r>
    <w:r w:rsidR="00A45720" w:rsidRPr="00F51B1E">
      <w:rPr>
        <w:rStyle w:val="Seitenzahl"/>
        <w:sz w:val="16"/>
        <w:szCs w:val="16"/>
      </w:rPr>
      <w:fldChar w:fldCharType="separate"/>
    </w:r>
    <w:r w:rsidR="007758BB">
      <w:rPr>
        <w:rStyle w:val="Seitenzahl"/>
        <w:noProof/>
        <w:sz w:val="16"/>
        <w:szCs w:val="16"/>
      </w:rPr>
      <w:t>2</w:t>
    </w:r>
    <w:r w:rsidR="00A45720" w:rsidRPr="00F51B1E">
      <w:rPr>
        <w:rStyle w:val="Seitenzahl"/>
        <w:sz w:val="16"/>
        <w:szCs w:val="16"/>
      </w:rPr>
      <w:fldChar w:fldCharType="end"/>
    </w:r>
    <w:r w:rsidR="00A45720" w:rsidRPr="00F51B1E">
      <w:rPr>
        <w:rStyle w:val="Seitenzahl"/>
        <w:sz w:val="16"/>
        <w:szCs w:val="16"/>
      </w:rPr>
      <w:t xml:space="preserve"> von </w:t>
    </w:r>
    <w:r w:rsidR="00A45720" w:rsidRPr="00F51B1E">
      <w:rPr>
        <w:rStyle w:val="Seitenzahl"/>
        <w:sz w:val="16"/>
        <w:szCs w:val="16"/>
      </w:rPr>
      <w:fldChar w:fldCharType="begin"/>
    </w:r>
    <w:r w:rsidR="00A45720" w:rsidRPr="00F51B1E">
      <w:rPr>
        <w:rStyle w:val="Seitenzahl"/>
        <w:sz w:val="16"/>
        <w:szCs w:val="16"/>
      </w:rPr>
      <w:instrText xml:space="preserve"> NUMPAGES </w:instrText>
    </w:r>
    <w:r w:rsidR="00A45720" w:rsidRPr="00F51B1E">
      <w:rPr>
        <w:rStyle w:val="Seitenzahl"/>
        <w:sz w:val="16"/>
        <w:szCs w:val="16"/>
      </w:rPr>
      <w:fldChar w:fldCharType="separate"/>
    </w:r>
    <w:r w:rsidR="007758BB">
      <w:rPr>
        <w:rStyle w:val="Seitenzahl"/>
        <w:noProof/>
        <w:sz w:val="16"/>
        <w:szCs w:val="16"/>
      </w:rPr>
      <w:t>2</w:t>
    </w:r>
    <w:r w:rsidR="00A45720" w:rsidRPr="00F51B1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02C7" w14:textId="77777777" w:rsidR="00144717" w:rsidRDefault="00144717">
      <w:r>
        <w:separator/>
      </w:r>
    </w:p>
  </w:footnote>
  <w:footnote w:type="continuationSeparator" w:id="0">
    <w:p w14:paraId="4D349259" w14:textId="77777777" w:rsidR="00144717" w:rsidRDefault="0014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470D" w14:textId="77777777" w:rsidR="00A45720" w:rsidRDefault="00D0461F">
    <w:pPr>
      <w:pStyle w:val="Kopfzeile"/>
    </w:pPr>
    <w:r>
      <w:rPr>
        <w:noProof/>
        <w:sz w:val="20"/>
      </w:rPr>
      <w:drawing>
        <wp:anchor distT="0" distB="0" distL="114300" distR="114300" simplePos="0" relativeHeight="251657728" behindDoc="0" locked="0" layoutInCell="1" allowOverlap="1" wp14:anchorId="31191698" wp14:editId="2A849D30">
          <wp:simplePos x="0" y="0"/>
          <wp:positionH relativeFrom="column">
            <wp:posOffset>4389120</wp:posOffset>
          </wp:positionH>
          <wp:positionV relativeFrom="paragraph">
            <wp:posOffset>-69850</wp:posOffset>
          </wp:positionV>
          <wp:extent cx="1440180" cy="480060"/>
          <wp:effectExtent l="0" t="0" r="7620" b="0"/>
          <wp:wrapNone/>
          <wp:docPr id="2"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5772F9"/>
    <w:multiLevelType w:val="hybridMultilevel"/>
    <w:tmpl w:val="09EAAC00"/>
    <w:lvl w:ilvl="0" w:tplc="04070001">
      <w:start w:val="2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6B5B5F"/>
    <w:multiLevelType w:val="hybridMultilevel"/>
    <w:tmpl w:val="D31C7D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9A1E62"/>
    <w:multiLevelType w:val="hybridMultilevel"/>
    <w:tmpl w:val="24AC5B28"/>
    <w:lvl w:ilvl="0" w:tplc="4ADC3FA6">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8F0887"/>
    <w:multiLevelType w:val="hybridMultilevel"/>
    <w:tmpl w:val="A7C47750"/>
    <w:lvl w:ilvl="0" w:tplc="20500810">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4"/>
    <w:rsid w:val="00012FD9"/>
    <w:rsid w:val="000303B2"/>
    <w:rsid w:val="0003466E"/>
    <w:rsid w:val="00042AC5"/>
    <w:rsid w:val="00044EB4"/>
    <w:rsid w:val="00065001"/>
    <w:rsid w:val="00066BA0"/>
    <w:rsid w:val="00071FCC"/>
    <w:rsid w:val="0008493D"/>
    <w:rsid w:val="00093661"/>
    <w:rsid w:val="00093E7B"/>
    <w:rsid w:val="00094077"/>
    <w:rsid w:val="000A39FE"/>
    <w:rsid w:val="000E0E28"/>
    <w:rsid w:val="000E7460"/>
    <w:rsid w:val="000F2A1C"/>
    <w:rsid w:val="000F6BAB"/>
    <w:rsid w:val="001028A0"/>
    <w:rsid w:val="0010572C"/>
    <w:rsid w:val="001350C3"/>
    <w:rsid w:val="00144717"/>
    <w:rsid w:val="00146C1D"/>
    <w:rsid w:val="001470D4"/>
    <w:rsid w:val="0016145D"/>
    <w:rsid w:val="00163311"/>
    <w:rsid w:val="0016355B"/>
    <w:rsid w:val="00182DC1"/>
    <w:rsid w:val="001A1907"/>
    <w:rsid w:val="001C2BA8"/>
    <w:rsid w:val="001C4610"/>
    <w:rsid w:val="001D1C28"/>
    <w:rsid w:val="001D6E4C"/>
    <w:rsid w:val="001F025B"/>
    <w:rsid w:val="001F090E"/>
    <w:rsid w:val="00205433"/>
    <w:rsid w:val="00206EEC"/>
    <w:rsid w:val="00216E03"/>
    <w:rsid w:val="00230A54"/>
    <w:rsid w:val="00234B1F"/>
    <w:rsid w:val="002505C2"/>
    <w:rsid w:val="00252B42"/>
    <w:rsid w:val="00257479"/>
    <w:rsid w:val="002606F3"/>
    <w:rsid w:val="0027672F"/>
    <w:rsid w:val="00277129"/>
    <w:rsid w:val="00280B22"/>
    <w:rsid w:val="00294EB6"/>
    <w:rsid w:val="002A17B8"/>
    <w:rsid w:val="002B0B75"/>
    <w:rsid w:val="002D75C4"/>
    <w:rsid w:val="002E7EDB"/>
    <w:rsid w:val="002F4BD6"/>
    <w:rsid w:val="00307E41"/>
    <w:rsid w:val="003128F4"/>
    <w:rsid w:val="00315C5C"/>
    <w:rsid w:val="003165ED"/>
    <w:rsid w:val="003213D4"/>
    <w:rsid w:val="0032524C"/>
    <w:rsid w:val="003402DF"/>
    <w:rsid w:val="003544E7"/>
    <w:rsid w:val="00355733"/>
    <w:rsid w:val="00362D7F"/>
    <w:rsid w:val="00365113"/>
    <w:rsid w:val="003726A9"/>
    <w:rsid w:val="00376A56"/>
    <w:rsid w:val="00381300"/>
    <w:rsid w:val="00383A89"/>
    <w:rsid w:val="00390E10"/>
    <w:rsid w:val="00394E0D"/>
    <w:rsid w:val="00397186"/>
    <w:rsid w:val="003B6749"/>
    <w:rsid w:val="003C5895"/>
    <w:rsid w:val="003D2B62"/>
    <w:rsid w:val="003E4336"/>
    <w:rsid w:val="003E61F7"/>
    <w:rsid w:val="004101E7"/>
    <w:rsid w:val="00414034"/>
    <w:rsid w:val="004200D0"/>
    <w:rsid w:val="00441ACA"/>
    <w:rsid w:val="00444FFB"/>
    <w:rsid w:val="0046447E"/>
    <w:rsid w:val="004733FB"/>
    <w:rsid w:val="00477C28"/>
    <w:rsid w:val="00482E04"/>
    <w:rsid w:val="00490E7A"/>
    <w:rsid w:val="004930F5"/>
    <w:rsid w:val="004D0785"/>
    <w:rsid w:val="004D56FC"/>
    <w:rsid w:val="004E1539"/>
    <w:rsid w:val="004F7BF3"/>
    <w:rsid w:val="00517D20"/>
    <w:rsid w:val="00541CF2"/>
    <w:rsid w:val="00541FB5"/>
    <w:rsid w:val="005452EE"/>
    <w:rsid w:val="0055176E"/>
    <w:rsid w:val="00562848"/>
    <w:rsid w:val="005639F6"/>
    <w:rsid w:val="00563BB9"/>
    <w:rsid w:val="00574481"/>
    <w:rsid w:val="0058173E"/>
    <w:rsid w:val="0058577D"/>
    <w:rsid w:val="005943C5"/>
    <w:rsid w:val="005A0552"/>
    <w:rsid w:val="005A4C0C"/>
    <w:rsid w:val="005A6E5C"/>
    <w:rsid w:val="005B6303"/>
    <w:rsid w:val="005E0E21"/>
    <w:rsid w:val="005E1D1C"/>
    <w:rsid w:val="00600527"/>
    <w:rsid w:val="006024FD"/>
    <w:rsid w:val="006135D2"/>
    <w:rsid w:val="00617EE7"/>
    <w:rsid w:val="006220A7"/>
    <w:rsid w:val="00627224"/>
    <w:rsid w:val="00641C14"/>
    <w:rsid w:val="0064358D"/>
    <w:rsid w:val="00654D28"/>
    <w:rsid w:val="00666147"/>
    <w:rsid w:val="00677F84"/>
    <w:rsid w:val="00682CAB"/>
    <w:rsid w:val="00684EF4"/>
    <w:rsid w:val="00691178"/>
    <w:rsid w:val="00692E2A"/>
    <w:rsid w:val="006C2897"/>
    <w:rsid w:val="006C55A0"/>
    <w:rsid w:val="006C57F3"/>
    <w:rsid w:val="006E0458"/>
    <w:rsid w:val="006F16F2"/>
    <w:rsid w:val="00701C3F"/>
    <w:rsid w:val="00705BE8"/>
    <w:rsid w:val="0070760E"/>
    <w:rsid w:val="0072746D"/>
    <w:rsid w:val="0073352D"/>
    <w:rsid w:val="0074476B"/>
    <w:rsid w:val="00745A0F"/>
    <w:rsid w:val="00753C8F"/>
    <w:rsid w:val="0075435B"/>
    <w:rsid w:val="007758BB"/>
    <w:rsid w:val="00783DD5"/>
    <w:rsid w:val="00786490"/>
    <w:rsid w:val="00792654"/>
    <w:rsid w:val="007B471B"/>
    <w:rsid w:val="007B7E99"/>
    <w:rsid w:val="007D3765"/>
    <w:rsid w:val="007D4894"/>
    <w:rsid w:val="007E4C6F"/>
    <w:rsid w:val="007F0EA8"/>
    <w:rsid w:val="00805717"/>
    <w:rsid w:val="0082426E"/>
    <w:rsid w:val="0083530B"/>
    <w:rsid w:val="00853ACA"/>
    <w:rsid w:val="00853FCA"/>
    <w:rsid w:val="0085677A"/>
    <w:rsid w:val="008625E0"/>
    <w:rsid w:val="00870055"/>
    <w:rsid w:val="00877443"/>
    <w:rsid w:val="00895E66"/>
    <w:rsid w:val="00896EEC"/>
    <w:rsid w:val="008A1090"/>
    <w:rsid w:val="008C0477"/>
    <w:rsid w:val="008C290B"/>
    <w:rsid w:val="008D0919"/>
    <w:rsid w:val="008D137A"/>
    <w:rsid w:val="008D4983"/>
    <w:rsid w:val="008D4A78"/>
    <w:rsid w:val="008D7287"/>
    <w:rsid w:val="008E5279"/>
    <w:rsid w:val="00912EDF"/>
    <w:rsid w:val="00917C5B"/>
    <w:rsid w:val="009504A9"/>
    <w:rsid w:val="00952242"/>
    <w:rsid w:val="00961013"/>
    <w:rsid w:val="00965261"/>
    <w:rsid w:val="00980003"/>
    <w:rsid w:val="009808EC"/>
    <w:rsid w:val="00994CF6"/>
    <w:rsid w:val="009A5892"/>
    <w:rsid w:val="009C6074"/>
    <w:rsid w:val="009E615C"/>
    <w:rsid w:val="009F1DEB"/>
    <w:rsid w:val="009F3C14"/>
    <w:rsid w:val="009F3EC7"/>
    <w:rsid w:val="00A10806"/>
    <w:rsid w:val="00A178EB"/>
    <w:rsid w:val="00A2050A"/>
    <w:rsid w:val="00A245DF"/>
    <w:rsid w:val="00A363EC"/>
    <w:rsid w:val="00A43695"/>
    <w:rsid w:val="00A437EC"/>
    <w:rsid w:val="00A45720"/>
    <w:rsid w:val="00A56368"/>
    <w:rsid w:val="00AA15E4"/>
    <w:rsid w:val="00AB001D"/>
    <w:rsid w:val="00AB0438"/>
    <w:rsid w:val="00AC0118"/>
    <w:rsid w:val="00AD199B"/>
    <w:rsid w:val="00AE30C0"/>
    <w:rsid w:val="00AE4928"/>
    <w:rsid w:val="00B06BDB"/>
    <w:rsid w:val="00B3000A"/>
    <w:rsid w:val="00B37139"/>
    <w:rsid w:val="00B46877"/>
    <w:rsid w:val="00B47557"/>
    <w:rsid w:val="00B47CA3"/>
    <w:rsid w:val="00B508F2"/>
    <w:rsid w:val="00B63425"/>
    <w:rsid w:val="00B640EB"/>
    <w:rsid w:val="00B66781"/>
    <w:rsid w:val="00B71BC7"/>
    <w:rsid w:val="00B865FE"/>
    <w:rsid w:val="00B91B2F"/>
    <w:rsid w:val="00B91D06"/>
    <w:rsid w:val="00B93F53"/>
    <w:rsid w:val="00B944E5"/>
    <w:rsid w:val="00BA1315"/>
    <w:rsid w:val="00BA49CB"/>
    <w:rsid w:val="00BC6A1C"/>
    <w:rsid w:val="00BC6AAB"/>
    <w:rsid w:val="00BE3684"/>
    <w:rsid w:val="00C0185C"/>
    <w:rsid w:val="00C15C2A"/>
    <w:rsid w:val="00C245CA"/>
    <w:rsid w:val="00C3553B"/>
    <w:rsid w:val="00C417A0"/>
    <w:rsid w:val="00C43FA4"/>
    <w:rsid w:val="00C50558"/>
    <w:rsid w:val="00C657FC"/>
    <w:rsid w:val="00C7217B"/>
    <w:rsid w:val="00C728CA"/>
    <w:rsid w:val="00C73067"/>
    <w:rsid w:val="00C77844"/>
    <w:rsid w:val="00C93145"/>
    <w:rsid w:val="00CA2D11"/>
    <w:rsid w:val="00CA38EB"/>
    <w:rsid w:val="00CC1655"/>
    <w:rsid w:val="00CD2800"/>
    <w:rsid w:val="00D03513"/>
    <w:rsid w:val="00D0461F"/>
    <w:rsid w:val="00D060B0"/>
    <w:rsid w:val="00D06EB5"/>
    <w:rsid w:val="00D16FD0"/>
    <w:rsid w:val="00D23AAE"/>
    <w:rsid w:val="00D32DC2"/>
    <w:rsid w:val="00D4788B"/>
    <w:rsid w:val="00D53598"/>
    <w:rsid w:val="00D675B0"/>
    <w:rsid w:val="00D7007A"/>
    <w:rsid w:val="00D76576"/>
    <w:rsid w:val="00D97373"/>
    <w:rsid w:val="00DB1B39"/>
    <w:rsid w:val="00DB59F7"/>
    <w:rsid w:val="00DC0EF9"/>
    <w:rsid w:val="00DD477A"/>
    <w:rsid w:val="00DE70CC"/>
    <w:rsid w:val="00DF2441"/>
    <w:rsid w:val="00DF3522"/>
    <w:rsid w:val="00E01936"/>
    <w:rsid w:val="00E34F35"/>
    <w:rsid w:val="00E50142"/>
    <w:rsid w:val="00E604EC"/>
    <w:rsid w:val="00E64EE5"/>
    <w:rsid w:val="00E67015"/>
    <w:rsid w:val="00E723C9"/>
    <w:rsid w:val="00E90656"/>
    <w:rsid w:val="00E90A66"/>
    <w:rsid w:val="00EA23DA"/>
    <w:rsid w:val="00EB0304"/>
    <w:rsid w:val="00EB4B8D"/>
    <w:rsid w:val="00EC1042"/>
    <w:rsid w:val="00ED2667"/>
    <w:rsid w:val="00EE415B"/>
    <w:rsid w:val="00F13BD5"/>
    <w:rsid w:val="00F14DE0"/>
    <w:rsid w:val="00F16425"/>
    <w:rsid w:val="00F20D4B"/>
    <w:rsid w:val="00F247E2"/>
    <w:rsid w:val="00F25CD8"/>
    <w:rsid w:val="00F34A6F"/>
    <w:rsid w:val="00F51B1E"/>
    <w:rsid w:val="00F70D6A"/>
    <w:rsid w:val="00F738AC"/>
    <w:rsid w:val="00F81232"/>
    <w:rsid w:val="00F84DAF"/>
    <w:rsid w:val="00FA37D8"/>
    <w:rsid w:val="00FB79B7"/>
    <w:rsid w:val="00FD1069"/>
    <w:rsid w:val="00FD375A"/>
    <w:rsid w:val="00FE1BE8"/>
    <w:rsid w:val="00FE339E"/>
    <w:rsid w:val="00FE4A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42B62"/>
  <w15:docId w15:val="{76A867CA-DCD6-4590-9513-1AEDBFBB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paragraph" w:styleId="Listenabsatz">
    <w:name w:val="List Paragraph"/>
    <w:basedOn w:val="Standard"/>
    <w:uiPriority w:val="34"/>
    <w:qFormat/>
    <w:rsid w:val="0027672F"/>
    <w:pPr>
      <w:ind w:left="720"/>
      <w:contextualSpacing/>
    </w:pPr>
  </w:style>
  <w:style w:type="table" w:styleId="Tabellenraster">
    <w:name w:val="Table Grid"/>
    <w:basedOn w:val="NormaleTabelle"/>
    <w:rsid w:val="0085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3E61F7"/>
    <w:rPr>
      <w:sz w:val="16"/>
      <w:szCs w:val="16"/>
    </w:rPr>
  </w:style>
  <w:style w:type="paragraph" w:styleId="Kommentartext">
    <w:name w:val="annotation text"/>
    <w:basedOn w:val="Standard"/>
    <w:link w:val="KommentartextZchn"/>
    <w:semiHidden/>
    <w:unhideWhenUsed/>
    <w:rsid w:val="003E61F7"/>
    <w:pPr>
      <w:spacing w:line="240" w:lineRule="auto"/>
    </w:pPr>
    <w:rPr>
      <w:sz w:val="20"/>
      <w:szCs w:val="20"/>
    </w:rPr>
  </w:style>
  <w:style w:type="character" w:customStyle="1" w:styleId="KommentartextZchn">
    <w:name w:val="Kommentartext Zchn"/>
    <w:basedOn w:val="Absatz-Standardschriftart"/>
    <w:link w:val="Kommentartext"/>
    <w:semiHidden/>
    <w:rsid w:val="003E61F7"/>
    <w:rPr>
      <w:rFonts w:ascii="Arial" w:hAnsi="Arial"/>
    </w:rPr>
  </w:style>
  <w:style w:type="paragraph" w:styleId="Kommentarthema">
    <w:name w:val="annotation subject"/>
    <w:basedOn w:val="Kommentartext"/>
    <w:next w:val="Kommentartext"/>
    <w:link w:val="KommentarthemaZchn"/>
    <w:semiHidden/>
    <w:unhideWhenUsed/>
    <w:rsid w:val="003E61F7"/>
    <w:rPr>
      <w:b/>
      <w:bCs/>
    </w:rPr>
  </w:style>
  <w:style w:type="character" w:customStyle="1" w:styleId="KommentarthemaZchn">
    <w:name w:val="Kommentarthema Zchn"/>
    <w:basedOn w:val="KommentartextZchn"/>
    <w:link w:val="Kommentarthema"/>
    <w:semiHidden/>
    <w:rsid w:val="003E61F7"/>
    <w:rPr>
      <w:rFonts w:ascii="Arial" w:hAnsi="Arial"/>
      <w:b/>
      <w:bCs/>
    </w:rPr>
  </w:style>
  <w:style w:type="character" w:styleId="NichtaufgelsteErwhnung">
    <w:name w:val="Unresolved Mention"/>
    <w:basedOn w:val="Absatz-Standardschriftart"/>
    <w:uiPriority w:val="99"/>
    <w:semiHidden/>
    <w:unhideWhenUsed/>
    <w:rsid w:val="003E61F7"/>
    <w:rPr>
      <w:color w:val="605E5C"/>
      <w:shd w:val="clear" w:color="auto" w:fill="E1DFDD"/>
    </w:rPr>
  </w:style>
  <w:style w:type="character" w:styleId="BesuchterLink">
    <w:name w:val="FollowedHyperlink"/>
    <w:basedOn w:val="Absatz-Standardschriftart"/>
    <w:semiHidden/>
    <w:unhideWhenUsed/>
    <w:rsid w:val="005943C5"/>
    <w:rPr>
      <w:color w:val="954F72" w:themeColor="followedHyperlink"/>
      <w:u w:val="single"/>
    </w:rPr>
  </w:style>
  <w:style w:type="paragraph" w:styleId="berarbeitung">
    <w:name w:val="Revision"/>
    <w:hidden/>
    <w:uiPriority w:val="99"/>
    <w:semiHidden/>
    <w:rsid w:val="00376A5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velux.de/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elux.de/f&#246;rderung" TargetMode="External"/><Relationship Id="rId17" Type="http://schemas.openxmlformats.org/officeDocument/2006/relationships/hyperlink" Target="http://www.velux.d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lux.de/f&#246;rderung"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3" ma:contentTypeDescription="Ein neues Dokument erstellen." ma:contentTypeScope="" ma:versionID="adfaf64c9e847c711dd1bfd3f1b1ce4f">
  <xsd:schema xmlns:xsd="http://www.w3.org/2001/XMLSchema" xmlns:xs="http://www.w3.org/2001/XMLSchema" xmlns:p="http://schemas.microsoft.com/office/2006/metadata/properties" xmlns:ns2="5109aa81-5098-4bb8-bfec-a251c777bbbd" xmlns:ns3="50cac201-cdd6-4c7a-b683-36739e709d10" targetNamespace="http://schemas.microsoft.com/office/2006/metadata/properties" ma:root="true" ma:fieldsID="e717d7ac2f893b3754e9385d46858637" ns2:_="" ns3:_="">
    <xsd:import namespace="5109aa81-5098-4bb8-bfec-a251c777bbbd"/>
    <xsd:import namespace="50cac201-cdd6-4c7a-b683-36739e709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D62AA-AC19-46D8-B06E-7767904C0142}">
  <ds:schemaRefs>
    <ds:schemaRef ds:uri="http://schemas.microsoft.com/sharepoint/v3/contenttype/forms"/>
  </ds:schemaRefs>
</ds:datastoreItem>
</file>

<file path=customXml/itemProps2.xml><?xml version="1.0" encoding="utf-8"?>
<ds:datastoreItem xmlns:ds="http://schemas.openxmlformats.org/officeDocument/2006/customXml" ds:itemID="{F6AF9C1B-E468-416F-9F97-D7DB8AD6A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478042-8685-4846-B134-37F7DD94AB19}">
  <ds:schemaRefs>
    <ds:schemaRef ds:uri="http://schemas.openxmlformats.org/officeDocument/2006/bibliography"/>
  </ds:schemaRefs>
</ds:datastoreItem>
</file>

<file path=customXml/itemProps4.xml><?xml version="1.0" encoding="utf-8"?>
<ds:datastoreItem xmlns:ds="http://schemas.openxmlformats.org/officeDocument/2006/customXml" ds:itemID="{9A6E48FA-5A34-48F1-A748-4A949160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1369</Words>
  <Characters>9253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Velux Pressemitteilung</vt:lpstr>
    </vt:vector>
  </TitlesOfParts>
  <Company>Faktor3 AG</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Velux Pressemitteilung</dc:title>
  <dc:subject/>
  <dc:creator>Andreas Reich</dc:creator>
  <cp:keywords/>
  <cp:lastModifiedBy>Y.Neshatrooh</cp:lastModifiedBy>
  <cp:revision>5</cp:revision>
  <cp:lastPrinted>2006-01-04T13:21:00Z</cp:lastPrinted>
  <dcterms:created xsi:type="dcterms:W3CDTF">2022-02-18T08:22:00Z</dcterms:created>
  <dcterms:modified xsi:type="dcterms:W3CDTF">2022-02-18T09:11:00Z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