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46DC" w14:textId="6A76C065" w:rsidR="0041272B" w:rsidRPr="009B6C97" w:rsidRDefault="0041272B" w:rsidP="0038078A">
      <w:pPr>
        <w:spacing w:after="120"/>
        <w:rPr>
          <w:b/>
          <w:szCs w:val="22"/>
        </w:rPr>
      </w:pPr>
      <w:bookmarkStart w:id="0" w:name="_Hlk505261185"/>
      <w:bookmarkEnd w:id="0"/>
      <w:r w:rsidRPr="009B6C97">
        <w:rPr>
          <w:b/>
          <w:szCs w:val="22"/>
        </w:rPr>
        <w:t xml:space="preserve">Presseinformation: </w:t>
      </w:r>
      <w:r w:rsidR="00222C1D">
        <w:rPr>
          <w:b/>
          <w:bCs/>
        </w:rPr>
        <w:t>Tageslicht-Norm DIN EN 17037</w:t>
      </w:r>
    </w:p>
    <w:p w14:paraId="36DC0989" w14:textId="77777777" w:rsidR="00222C1D" w:rsidRPr="00222C1D" w:rsidRDefault="00222C1D" w:rsidP="00222C1D">
      <w:pPr>
        <w:autoSpaceDE w:val="0"/>
        <w:autoSpaceDN w:val="0"/>
        <w:adjustRightInd w:val="0"/>
        <w:spacing w:after="120"/>
        <w:rPr>
          <w:rFonts w:cs="Arial"/>
          <w:b/>
          <w:bCs/>
          <w:sz w:val="32"/>
          <w:szCs w:val="32"/>
          <w:lang w:eastAsia="en-US"/>
        </w:rPr>
      </w:pPr>
      <w:r w:rsidRPr="00222C1D">
        <w:rPr>
          <w:rFonts w:cs="Arial"/>
          <w:b/>
          <w:bCs/>
          <w:sz w:val="32"/>
          <w:szCs w:val="32"/>
          <w:lang w:eastAsia="en-US"/>
        </w:rPr>
        <w:t>Europaweite Norm schafft neue Richtwerte für Tageslichtversorgung</w:t>
      </w:r>
    </w:p>
    <w:p w14:paraId="1FA395EA" w14:textId="19E1E414" w:rsidR="001B2006" w:rsidRDefault="001B2006" w:rsidP="001B2006">
      <w:pPr>
        <w:autoSpaceDE w:val="0"/>
        <w:autoSpaceDN w:val="0"/>
        <w:adjustRightInd w:val="0"/>
        <w:spacing w:after="120"/>
        <w:rPr>
          <w:b/>
          <w:bCs/>
        </w:rPr>
      </w:pPr>
      <w:r>
        <w:rPr>
          <w:rFonts w:cs="Arial"/>
          <w:b/>
          <w:bCs/>
          <w:szCs w:val="22"/>
        </w:rPr>
        <w:t>E</w:t>
      </w:r>
      <w:r w:rsidRPr="00222C1D">
        <w:rPr>
          <w:rFonts w:cs="Arial"/>
          <w:b/>
          <w:bCs/>
          <w:szCs w:val="22"/>
        </w:rPr>
        <w:t xml:space="preserve">rstmals </w:t>
      </w:r>
      <w:r>
        <w:rPr>
          <w:rFonts w:cs="Arial"/>
          <w:b/>
          <w:bCs/>
          <w:szCs w:val="22"/>
        </w:rPr>
        <w:t xml:space="preserve">gilt </w:t>
      </w:r>
      <w:r w:rsidRPr="00222C1D">
        <w:rPr>
          <w:rFonts w:cs="Arial"/>
          <w:b/>
          <w:bCs/>
          <w:szCs w:val="22"/>
        </w:rPr>
        <w:t>eine europaweit</w:t>
      </w:r>
      <w:r w:rsidR="001C19AD">
        <w:rPr>
          <w:rFonts w:cs="Arial"/>
          <w:b/>
          <w:bCs/>
          <w:szCs w:val="22"/>
        </w:rPr>
        <w:t>e</w:t>
      </w:r>
      <w:r w:rsidRPr="00222C1D">
        <w:rPr>
          <w:rFonts w:cs="Arial"/>
          <w:b/>
          <w:bCs/>
          <w:szCs w:val="22"/>
        </w:rPr>
        <w:t xml:space="preserve"> Norm zur Versorgung von Gebäuden und Räumen mit Tageslicht</w:t>
      </w:r>
    </w:p>
    <w:p w14:paraId="5CF1F2D8" w14:textId="0C323E72" w:rsidR="00222C1D" w:rsidRDefault="00822CDA" w:rsidP="00222C1D">
      <w:pPr>
        <w:autoSpaceDE w:val="0"/>
        <w:autoSpaceDN w:val="0"/>
        <w:adjustRightInd w:val="0"/>
        <w:spacing w:after="120"/>
        <w:rPr>
          <w:rFonts w:cs="Arial"/>
          <w:b/>
          <w:bCs/>
          <w:sz w:val="20"/>
          <w:szCs w:val="20"/>
        </w:rPr>
      </w:pPr>
      <w:r>
        <w:rPr>
          <w:b/>
          <w:bCs/>
        </w:rPr>
        <w:t>Stuttgart/Hamburg, Januar 2020</w:t>
      </w:r>
      <w:r w:rsidR="0041272B" w:rsidRPr="00D33B86">
        <w:rPr>
          <w:b/>
          <w:bCs/>
        </w:rPr>
        <w:t xml:space="preserve">. </w:t>
      </w:r>
      <w:bookmarkStart w:id="1" w:name="_Hlk531020937"/>
      <w:r w:rsidR="004B3A32">
        <w:rPr>
          <w:rFonts w:cs="Arial"/>
          <w:b/>
          <w:bCs/>
          <w:szCs w:val="22"/>
        </w:rPr>
        <w:t>Die</w:t>
      </w:r>
      <w:r w:rsidR="00222C1D" w:rsidRPr="00222C1D">
        <w:rPr>
          <w:rFonts w:cs="Arial"/>
          <w:b/>
          <w:bCs/>
          <w:szCs w:val="22"/>
        </w:rPr>
        <w:t xml:space="preserve"> DIN EN 17037 soll </w:t>
      </w:r>
      <w:r w:rsidR="004B3A32">
        <w:rPr>
          <w:rFonts w:cs="Arial"/>
          <w:b/>
          <w:bCs/>
          <w:szCs w:val="22"/>
        </w:rPr>
        <w:t xml:space="preserve">in ganz Europa </w:t>
      </w:r>
      <w:r w:rsidR="00222C1D" w:rsidRPr="00222C1D">
        <w:rPr>
          <w:rFonts w:cs="Arial"/>
          <w:b/>
          <w:bCs/>
          <w:szCs w:val="22"/>
        </w:rPr>
        <w:t xml:space="preserve">ausreichende Tageslichtversorgung in Gebäuden sicherstellen und angenehme und gesunde Räumlichkeiten für die Nutzer schaffen. Dabei geht sie deutlich über die </w:t>
      </w:r>
      <w:r w:rsidR="007831B8">
        <w:rPr>
          <w:rFonts w:cs="Arial"/>
          <w:b/>
          <w:bCs/>
          <w:szCs w:val="22"/>
        </w:rPr>
        <w:t xml:space="preserve">bestehenden </w:t>
      </w:r>
      <w:r w:rsidR="00222C1D" w:rsidRPr="00222C1D">
        <w:rPr>
          <w:rFonts w:cs="Arial"/>
          <w:b/>
          <w:bCs/>
          <w:szCs w:val="22"/>
        </w:rPr>
        <w:t xml:space="preserve">Anforderungen der Landesbauordnungen hinaus und </w:t>
      </w:r>
      <w:r w:rsidR="009A50F5">
        <w:rPr>
          <w:rFonts w:cs="Arial"/>
          <w:b/>
          <w:bCs/>
          <w:szCs w:val="22"/>
        </w:rPr>
        <w:t>legt</w:t>
      </w:r>
      <w:r w:rsidR="009A50F5" w:rsidRPr="00222C1D">
        <w:rPr>
          <w:rFonts w:cs="Arial"/>
          <w:b/>
          <w:bCs/>
          <w:szCs w:val="22"/>
        </w:rPr>
        <w:t xml:space="preserve"> </w:t>
      </w:r>
      <w:r w:rsidR="00222C1D" w:rsidRPr="00222C1D">
        <w:rPr>
          <w:rFonts w:cs="Arial"/>
          <w:b/>
          <w:bCs/>
          <w:szCs w:val="22"/>
        </w:rPr>
        <w:t xml:space="preserve">statt konkreter Fenstergrößen </w:t>
      </w:r>
      <w:r w:rsidR="007831B8">
        <w:rPr>
          <w:rFonts w:cs="Arial"/>
          <w:b/>
          <w:bCs/>
          <w:szCs w:val="22"/>
        </w:rPr>
        <w:t>Vorgaben</w:t>
      </w:r>
      <w:r w:rsidR="007831B8" w:rsidRPr="00222C1D">
        <w:rPr>
          <w:rFonts w:cs="Arial"/>
          <w:b/>
          <w:bCs/>
          <w:szCs w:val="22"/>
        </w:rPr>
        <w:t xml:space="preserve"> </w:t>
      </w:r>
      <w:r w:rsidR="007831B8">
        <w:rPr>
          <w:rFonts w:cs="Arial"/>
          <w:b/>
          <w:bCs/>
          <w:szCs w:val="22"/>
        </w:rPr>
        <w:t>für</w:t>
      </w:r>
      <w:r w:rsidR="007831B8" w:rsidRPr="00222C1D">
        <w:rPr>
          <w:rFonts w:cs="Arial"/>
          <w:b/>
          <w:bCs/>
          <w:szCs w:val="22"/>
        </w:rPr>
        <w:t xml:space="preserve"> </w:t>
      </w:r>
      <w:r w:rsidR="00222C1D" w:rsidRPr="00222C1D">
        <w:rPr>
          <w:rFonts w:cs="Arial"/>
          <w:b/>
          <w:bCs/>
          <w:szCs w:val="22"/>
        </w:rPr>
        <w:t>die Tageslichtbedingungen im Innenraum</w:t>
      </w:r>
      <w:r w:rsidR="009A50F5">
        <w:rPr>
          <w:rFonts w:cs="Arial"/>
          <w:b/>
          <w:bCs/>
          <w:szCs w:val="22"/>
        </w:rPr>
        <w:t xml:space="preserve"> fest</w:t>
      </w:r>
      <w:r w:rsidR="00222C1D" w:rsidRPr="00222C1D">
        <w:rPr>
          <w:rFonts w:cs="Arial"/>
          <w:b/>
          <w:bCs/>
          <w:szCs w:val="22"/>
        </w:rPr>
        <w:t xml:space="preserve">. </w:t>
      </w:r>
      <w:r w:rsidR="004B3A32">
        <w:rPr>
          <w:rFonts w:cs="Arial"/>
          <w:b/>
          <w:bCs/>
          <w:szCs w:val="22"/>
        </w:rPr>
        <w:t>Handwerker und Bauherren können sich den Richtwerten mit einer einfachen Faustformel bei der Fensterplanung nähern.</w:t>
      </w:r>
    </w:p>
    <w:bookmarkEnd w:id="1"/>
    <w:p w14:paraId="291BFB02" w14:textId="004D97B9" w:rsidR="00222C1D" w:rsidRDefault="00222C1D" w:rsidP="00E46DA0">
      <w:pPr>
        <w:autoSpaceDE w:val="0"/>
        <w:autoSpaceDN w:val="0"/>
        <w:adjustRightInd w:val="0"/>
      </w:pPr>
      <w:r w:rsidRPr="00222C1D">
        <w:t>Wir verbringen 90 Prozent unsere</w:t>
      </w:r>
      <w:r w:rsidR="008E5C50">
        <w:t>r</w:t>
      </w:r>
      <w:r w:rsidRPr="00222C1D">
        <w:t xml:space="preserve"> Zeit in Gebäuden. Daher ist es wichtig, in diesen Gebäuden eine Verbindung nach außen zu schaffen. </w:t>
      </w:r>
      <w:r w:rsidR="004862FA">
        <w:t>Die</w:t>
      </w:r>
      <w:r w:rsidRPr="00222C1D">
        <w:t xml:space="preserve"> Versorgung des Innenraums mit ausreichend Tageslicht</w:t>
      </w:r>
      <w:r w:rsidR="004862FA">
        <w:t xml:space="preserve"> spielt dabei eine besondere Rolle</w:t>
      </w:r>
      <w:r w:rsidRPr="00222C1D">
        <w:t xml:space="preserve">, um </w:t>
      </w:r>
      <w:r w:rsidR="004862FA">
        <w:t xml:space="preserve">den </w:t>
      </w:r>
      <w:r w:rsidRPr="00222C1D">
        <w:t xml:space="preserve">Aufenthalt und </w:t>
      </w:r>
      <w:r w:rsidR="004862FA">
        <w:t xml:space="preserve">die </w:t>
      </w:r>
      <w:r w:rsidRPr="00222C1D">
        <w:t>Nutzung des Raums möglichst angenehm und gesund zu gestalten. „Die bisher gültige Musterbauordnung stammt aus dem Jahr 1960 und wird den Bedürfnissen von Bewohnern und Nutzern</w:t>
      </w:r>
      <w:r w:rsidR="00184F1E">
        <w:t xml:space="preserve"> in den meisten Fällen</w:t>
      </w:r>
      <w:r w:rsidRPr="00222C1D">
        <w:t xml:space="preserve"> nicht gerecht“, erklärt </w:t>
      </w:r>
      <w:r w:rsidR="001D3357">
        <w:t xml:space="preserve">Katrin Winkler, Expertin für Architektur und Tageslicht </w:t>
      </w:r>
      <w:r w:rsidRPr="00222C1D">
        <w:t xml:space="preserve">bei Velux Deutschland. Je nach Bundesland verlangen die Landesbauordnungen, dass in einem Raum die Fläche der Fensterausschnitte mindestens 10 </w:t>
      </w:r>
      <w:r w:rsidR="006C4B3D">
        <w:t>-</w:t>
      </w:r>
      <w:r w:rsidRPr="00222C1D">
        <w:t xml:space="preserve"> 12,5</w:t>
      </w:r>
      <w:r w:rsidR="007669D7">
        <w:t xml:space="preserve"> </w:t>
      </w:r>
      <w:r w:rsidR="009A50F5">
        <w:t>%</w:t>
      </w:r>
      <w:r w:rsidRPr="00222C1D">
        <w:t xml:space="preserve"> der </w:t>
      </w:r>
      <w:r w:rsidR="00AC2D2C">
        <w:t>Netto-</w:t>
      </w:r>
      <w:r w:rsidRPr="00222C1D">
        <w:t xml:space="preserve">Grundfläche entsprechen müssen. „Eine angemessene Versorgung mit Tageslicht schafft man in einem Raum damit </w:t>
      </w:r>
      <w:r w:rsidR="00787B00">
        <w:t>meist</w:t>
      </w:r>
      <w:r w:rsidRPr="00222C1D">
        <w:t xml:space="preserve"> nicht.“</w:t>
      </w:r>
    </w:p>
    <w:p w14:paraId="5C9BA175" w14:textId="77777777" w:rsidR="00E46DA0" w:rsidRPr="00222C1D" w:rsidRDefault="00E46DA0" w:rsidP="00E46DA0">
      <w:pPr>
        <w:autoSpaceDE w:val="0"/>
        <w:autoSpaceDN w:val="0"/>
        <w:adjustRightInd w:val="0"/>
        <w:spacing w:line="240" w:lineRule="auto"/>
      </w:pPr>
    </w:p>
    <w:p w14:paraId="2A59D8BF" w14:textId="60164746" w:rsidR="00132689" w:rsidRDefault="004862FA" w:rsidP="004862FA">
      <w:pPr>
        <w:autoSpaceDE w:val="0"/>
        <w:autoSpaceDN w:val="0"/>
        <w:adjustRightInd w:val="0"/>
        <w:spacing w:after="120"/>
      </w:pPr>
      <w:r>
        <w:t xml:space="preserve">Im März 2019 </w:t>
      </w:r>
      <w:r w:rsidR="004336F1">
        <w:t xml:space="preserve">trat </w:t>
      </w:r>
      <w:r>
        <w:t xml:space="preserve">die DIN EN 17037 in Kraft und </w:t>
      </w:r>
      <w:r w:rsidR="004336F1">
        <w:t xml:space="preserve">liefert </w:t>
      </w:r>
      <w:r>
        <w:t>nun</w:t>
      </w:r>
      <w:r w:rsidR="003F2F58">
        <w:t xml:space="preserve"> – neben </w:t>
      </w:r>
      <w:r w:rsidR="00F921C7">
        <w:t xml:space="preserve">Empfehlungen zu Aussicht, Besonnung und der Vermeidung von Blendung </w:t>
      </w:r>
      <w:r w:rsidR="001C19AD">
        <w:t>–</w:t>
      </w:r>
      <w:r>
        <w:t xml:space="preserve"> </w:t>
      </w:r>
      <w:r w:rsidR="00222C1D" w:rsidRPr="00222C1D">
        <w:t>aktualisierte</w:t>
      </w:r>
      <w:r w:rsidR="001C19AD">
        <w:t xml:space="preserve"> </w:t>
      </w:r>
      <w:r w:rsidR="00222C1D" w:rsidRPr="00222C1D">
        <w:t>und erweiterte Richtwert</w:t>
      </w:r>
      <w:r w:rsidR="00FB030B">
        <w:t>e</w:t>
      </w:r>
      <w:r w:rsidR="00222C1D" w:rsidRPr="00222C1D">
        <w:t xml:space="preserve"> zur Sicherstellung einer angemessenen Tageslichtversorgung.</w:t>
      </w:r>
      <w:r w:rsidR="00451C73">
        <w:t xml:space="preserve"> </w:t>
      </w:r>
      <w:r>
        <w:t xml:space="preserve">Anders als die Landesbauordnung (LBO) </w:t>
      </w:r>
      <w:r w:rsidR="00222C1D" w:rsidRPr="00222C1D">
        <w:t>basier</w:t>
      </w:r>
      <w:r w:rsidR="00D327B3">
        <w:t>en</w:t>
      </w:r>
      <w:r w:rsidR="00222C1D" w:rsidRPr="00222C1D">
        <w:t xml:space="preserve"> </w:t>
      </w:r>
      <w:r>
        <w:t xml:space="preserve">diese </w:t>
      </w:r>
      <w:r w:rsidR="00222C1D" w:rsidRPr="00222C1D">
        <w:t xml:space="preserve">nicht auf </w:t>
      </w:r>
      <w:r w:rsidR="00200375">
        <w:t xml:space="preserve">dem Verhältnis von </w:t>
      </w:r>
      <w:r w:rsidR="00222C1D" w:rsidRPr="00222C1D">
        <w:t>Fenstergrößen</w:t>
      </w:r>
      <w:r w:rsidR="00200375">
        <w:t xml:space="preserve"> zu Raumgröße</w:t>
      </w:r>
      <w:r w:rsidR="00222C1D" w:rsidRPr="00222C1D">
        <w:t>, sondern auf der</w:t>
      </w:r>
      <w:r w:rsidR="009B084D">
        <w:t xml:space="preserve"> tatsächlichen</w:t>
      </w:r>
      <w:r w:rsidR="00222C1D" w:rsidRPr="00222C1D">
        <w:t xml:space="preserve"> </w:t>
      </w:r>
      <w:r w:rsidR="004E46B0" w:rsidRPr="00222C1D">
        <w:t>Bel</w:t>
      </w:r>
      <w:r w:rsidR="004E46B0">
        <w:t>i</w:t>
      </w:r>
      <w:r w:rsidR="004E46B0" w:rsidRPr="00222C1D">
        <w:t xml:space="preserve">chtung </w:t>
      </w:r>
      <w:r w:rsidR="00222C1D" w:rsidRPr="00222C1D">
        <w:t>des Raums.</w:t>
      </w:r>
    </w:p>
    <w:p w14:paraId="240C6C33" w14:textId="77777777" w:rsidR="00E46DA0" w:rsidRDefault="00E46DA0" w:rsidP="004862FA">
      <w:pPr>
        <w:autoSpaceDE w:val="0"/>
        <w:autoSpaceDN w:val="0"/>
        <w:adjustRightInd w:val="0"/>
        <w:spacing w:after="120"/>
      </w:pPr>
    </w:p>
    <w:p w14:paraId="1402EDD0" w14:textId="1A82327B" w:rsidR="00222C1D" w:rsidRPr="00222C1D" w:rsidRDefault="00451C73" w:rsidP="004862FA">
      <w:pPr>
        <w:autoSpaceDE w:val="0"/>
        <w:autoSpaceDN w:val="0"/>
        <w:adjustRightInd w:val="0"/>
        <w:spacing w:after="120"/>
      </w:pPr>
      <w:r>
        <w:t>Die einzelnen Aspekte können mit</w:t>
      </w:r>
      <w:r w:rsidR="00C2665C">
        <w:t>hilfe</w:t>
      </w:r>
      <w:r>
        <w:t xml:space="preserve"> der Norm in die Bewertungskategorien „gering“, „mittel“ und „hoch“ eingeordnet werden. </w:t>
      </w:r>
      <w:r w:rsidR="00222C1D" w:rsidRPr="00222C1D">
        <w:t xml:space="preserve">Für </w:t>
      </w:r>
      <w:r>
        <w:t>eine ausreichende</w:t>
      </w:r>
      <w:r w:rsidR="00222C1D" w:rsidRPr="00222C1D">
        <w:t xml:space="preserve"> Tageslichtversorgung für vertikale und geneigte Fenster führt die Norm zwei Kriterien auf</w:t>
      </w:r>
      <w:r w:rsidR="009A50F5">
        <w:t>. Diese</w:t>
      </w:r>
      <w:r w:rsidR="002D14EC">
        <w:t xml:space="preserve"> Vorgaben</w:t>
      </w:r>
      <w:r w:rsidR="009A50F5">
        <w:t xml:space="preserve"> bezieh</w:t>
      </w:r>
      <w:r w:rsidR="002D14EC">
        <w:t>en</w:t>
      </w:r>
      <w:r w:rsidR="009A50F5">
        <w:t xml:space="preserve"> sich jeweils auf </w:t>
      </w:r>
      <w:r w:rsidR="002D14EC">
        <w:t>eine</w:t>
      </w:r>
      <w:r w:rsidR="009A50F5">
        <w:t xml:space="preserve"> Fläche</w:t>
      </w:r>
      <w:r w:rsidR="002D14EC">
        <w:t xml:space="preserve"> im Raum </w:t>
      </w:r>
      <w:r w:rsidR="00B61949">
        <w:t>(</w:t>
      </w:r>
      <w:r w:rsidR="00CE7E28">
        <w:t>Bezugsebene</w:t>
      </w:r>
      <w:r w:rsidR="00B61949">
        <w:t>)</w:t>
      </w:r>
      <w:r w:rsidR="00CE7E28">
        <w:t xml:space="preserve"> in Höhe von 85 cm </w:t>
      </w:r>
      <w:r w:rsidR="002D14EC">
        <w:t>mit jeweils 50 cm Abstand zu den Wänden</w:t>
      </w:r>
      <w:r w:rsidR="00222C1D" w:rsidRPr="00222C1D">
        <w:t>:</w:t>
      </w:r>
    </w:p>
    <w:p w14:paraId="4F69F62A" w14:textId="55031BEA" w:rsidR="00222C1D" w:rsidRPr="00222C1D" w:rsidRDefault="002D14EC" w:rsidP="00222C1D">
      <w:pPr>
        <w:numPr>
          <w:ilvl w:val="0"/>
          <w:numId w:val="14"/>
        </w:numPr>
        <w:autoSpaceDE w:val="0"/>
        <w:autoSpaceDN w:val="0"/>
        <w:adjustRightInd w:val="0"/>
        <w:spacing w:after="120"/>
      </w:pPr>
      <w:r>
        <w:t>Auf</w:t>
      </w:r>
      <w:r w:rsidRPr="00222C1D">
        <w:t xml:space="preserve"> </w:t>
      </w:r>
      <w:r w:rsidR="00222C1D" w:rsidRPr="00222C1D">
        <w:rPr>
          <w:b/>
          <w:bCs/>
        </w:rPr>
        <w:t xml:space="preserve">50% </w:t>
      </w:r>
      <w:r w:rsidRPr="00222C1D">
        <w:rPr>
          <w:b/>
          <w:bCs/>
        </w:rPr>
        <w:t>de</w:t>
      </w:r>
      <w:r>
        <w:rPr>
          <w:b/>
          <w:bCs/>
        </w:rPr>
        <w:t>r</w:t>
      </w:r>
      <w:r w:rsidRPr="00222C1D">
        <w:rPr>
          <w:b/>
          <w:bCs/>
        </w:rPr>
        <w:t xml:space="preserve"> </w:t>
      </w:r>
      <w:r>
        <w:rPr>
          <w:b/>
          <w:bCs/>
        </w:rPr>
        <w:t>Fläche</w:t>
      </w:r>
      <w:r w:rsidRPr="00222C1D">
        <w:t xml:space="preserve"> </w:t>
      </w:r>
      <w:r w:rsidR="00222C1D" w:rsidRPr="00222C1D">
        <w:t xml:space="preserve">sollen mindestens </w:t>
      </w:r>
      <w:r w:rsidR="00222C1D" w:rsidRPr="00222C1D">
        <w:rPr>
          <w:b/>
          <w:bCs/>
        </w:rPr>
        <w:t xml:space="preserve">300 Lux </w:t>
      </w:r>
      <w:r w:rsidR="00222C1D" w:rsidRPr="00222C1D">
        <w:t>(Beleuchtungsstärke in Lumen pro m²</w:t>
      </w:r>
      <w:r w:rsidR="00BC423A">
        <w:t>)</w:t>
      </w:r>
      <w:r w:rsidR="006C4B3D">
        <w:t xml:space="preserve"> </w:t>
      </w:r>
      <w:r w:rsidR="00222C1D" w:rsidRPr="00222C1D">
        <w:t xml:space="preserve">während </w:t>
      </w:r>
      <w:r w:rsidR="00222C1D" w:rsidRPr="00222C1D">
        <w:rPr>
          <w:b/>
          <w:bCs/>
        </w:rPr>
        <w:t>50% der Tageslichtstunden</w:t>
      </w:r>
      <w:r w:rsidR="00222C1D" w:rsidRPr="00222C1D">
        <w:t xml:space="preserve"> </w:t>
      </w:r>
      <w:r w:rsidR="00367B74">
        <w:t>erreicht</w:t>
      </w:r>
      <w:r w:rsidR="00222C1D" w:rsidRPr="00222C1D">
        <w:t xml:space="preserve"> werden.</w:t>
      </w:r>
    </w:p>
    <w:p w14:paraId="2F158C8A" w14:textId="19C90E99" w:rsidR="00222C1D" w:rsidRPr="00222C1D" w:rsidRDefault="002D14EC" w:rsidP="00222C1D">
      <w:pPr>
        <w:numPr>
          <w:ilvl w:val="0"/>
          <w:numId w:val="14"/>
        </w:numPr>
        <w:autoSpaceDE w:val="0"/>
        <w:autoSpaceDN w:val="0"/>
        <w:adjustRightInd w:val="0"/>
        <w:spacing w:after="120"/>
      </w:pPr>
      <w:r>
        <w:t>Auf</w:t>
      </w:r>
      <w:r w:rsidRPr="00222C1D">
        <w:t xml:space="preserve"> </w:t>
      </w:r>
      <w:r w:rsidR="00222C1D" w:rsidRPr="00222C1D">
        <w:rPr>
          <w:b/>
          <w:bCs/>
        </w:rPr>
        <w:t xml:space="preserve">95% </w:t>
      </w:r>
      <w:r>
        <w:rPr>
          <w:b/>
          <w:bCs/>
        </w:rPr>
        <w:t>der Fläche</w:t>
      </w:r>
      <w:r w:rsidR="00222C1D" w:rsidRPr="00222C1D">
        <w:t xml:space="preserve"> sollen mindestens </w:t>
      </w:r>
      <w:r w:rsidR="00222C1D" w:rsidRPr="00222C1D">
        <w:rPr>
          <w:b/>
          <w:bCs/>
        </w:rPr>
        <w:t>100 Lux</w:t>
      </w:r>
      <w:r w:rsidR="00A626DB">
        <w:rPr>
          <w:b/>
          <w:bCs/>
        </w:rPr>
        <w:t xml:space="preserve"> </w:t>
      </w:r>
      <w:r w:rsidR="00222C1D" w:rsidRPr="00222C1D">
        <w:t xml:space="preserve">während </w:t>
      </w:r>
      <w:r w:rsidR="00222C1D" w:rsidRPr="00222C1D">
        <w:rPr>
          <w:b/>
          <w:bCs/>
        </w:rPr>
        <w:t>50% der Tageslichtstunden</w:t>
      </w:r>
      <w:r w:rsidR="00222C1D" w:rsidRPr="00222C1D">
        <w:t xml:space="preserve"> </w:t>
      </w:r>
      <w:r w:rsidR="00367B74">
        <w:t>erreicht</w:t>
      </w:r>
      <w:r w:rsidR="00222C1D" w:rsidRPr="00222C1D">
        <w:t xml:space="preserve"> werden.</w:t>
      </w:r>
    </w:p>
    <w:p w14:paraId="68BD5775" w14:textId="77777777" w:rsidR="00222C1D" w:rsidRPr="00222C1D" w:rsidRDefault="00222C1D" w:rsidP="00222C1D">
      <w:pPr>
        <w:autoSpaceDE w:val="0"/>
        <w:autoSpaceDN w:val="0"/>
        <w:adjustRightInd w:val="0"/>
        <w:spacing w:after="120"/>
      </w:pPr>
      <w:r w:rsidRPr="00222C1D">
        <w:t>Für horizontale Oberlichter gilt:</w:t>
      </w:r>
    </w:p>
    <w:p w14:paraId="42D10EBA" w14:textId="55B14C11" w:rsidR="00222C1D" w:rsidRPr="00222C1D" w:rsidRDefault="002D14EC" w:rsidP="00222C1D">
      <w:pPr>
        <w:numPr>
          <w:ilvl w:val="0"/>
          <w:numId w:val="15"/>
        </w:numPr>
        <w:autoSpaceDE w:val="0"/>
        <w:autoSpaceDN w:val="0"/>
        <w:adjustRightInd w:val="0"/>
        <w:spacing w:after="120"/>
      </w:pPr>
      <w:r>
        <w:t>Auf</w:t>
      </w:r>
      <w:r w:rsidRPr="00222C1D">
        <w:t xml:space="preserve"> </w:t>
      </w:r>
      <w:r w:rsidR="00222C1D" w:rsidRPr="00222C1D">
        <w:rPr>
          <w:b/>
          <w:bCs/>
        </w:rPr>
        <w:t>95%</w:t>
      </w:r>
      <w:r w:rsidR="00222C1D" w:rsidRPr="00222C1D">
        <w:t xml:space="preserve"> </w:t>
      </w:r>
      <w:r>
        <w:t>der Fläche</w:t>
      </w:r>
      <w:r w:rsidR="00222C1D" w:rsidRPr="00222C1D">
        <w:t xml:space="preserve"> sollen mind</w:t>
      </w:r>
      <w:r w:rsidR="001C19AD">
        <w:t>estens</w:t>
      </w:r>
      <w:r w:rsidR="00222C1D" w:rsidRPr="00222C1D">
        <w:t xml:space="preserve"> </w:t>
      </w:r>
      <w:r w:rsidR="00222C1D" w:rsidRPr="00222C1D">
        <w:rPr>
          <w:b/>
          <w:bCs/>
        </w:rPr>
        <w:t>300 Lux</w:t>
      </w:r>
      <w:r w:rsidR="00222C1D" w:rsidRPr="00222C1D">
        <w:t xml:space="preserve"> während </w:t>
      </w:r>
      <w:r w:rsidR="00222C1D" w:rsidRPr="00222C1D">
        <w:rPr>
          <w:b/>
          <w:bCs/>
        </w:rPr>
        <w:t>50% der Tageslichtstunden</w:t>
      </w:r>
      <w:r w:rsidR="00222C1D" w:rsidRPr="00222C1D">
        <w:t xml:space="preserve"> </w:t>
      </w:r>
      <w:r w:rsidR="00367B74">
        <w:t>erreicht</w:t>
      </w:r>
      <w:r w:rsidR="00222C1D" w:rsidRPr="00222C1D">
        <w:t xml:space="preserve"> werden.</w:t>
      </w:r>
    </w:p>
    <w:p w14:paraId="3F62B737" w14:textId="0B9FB367" w:rsidR="00813975" w:rsidRDefault="00BC423A" w:rsidP="00E46DA0">
      <w:pPr>
        <w:autoSpaceDE w:val="0"/>
        <w:autoSpaceDN w:val="0"/>
        <w:adjustRightInd w:val="0"/>
      </w:pPr>
      <w:r>
        <w:t xml:space="preserve">Damit ist aber jeweils nur die Empfehlungsstufe „gering“ erreicht. </w:t>
      </w:r>
      <w:r w:rsidR="00222C1D" w:rsidRPr="00222C1D">
        <w:t xml:space="preserve">Die </w:t>
      </w:r>
      <w:r w:rsidR="00414F61">
        <w:t>Überprüfung</w:t>
      </w:r>
      <w:r w:rsidR="00486317">
        <w:t>en</w:t>
      </w:r>
      <w:r w:rsidR="00222C1D" w:rsidRPr="00222C1D">
        <w:t xml:space="preserve"> können entweder mithilfe </w:t>
      </w:r>
      <w:r w:rsidR="00D033A5">
        <w:t xml:space="preserve">einer Ganzjahressimulation für </w:t>
      </w:r>
      <w:r w:rsidR="00C50002">
        <w:t xml:space="preserve">Erreichung der </w:t>
      </w:r>
      <w:r w:rsidR="00EF55C6">
        <w:t xml:space="preserve">empfohlenen </w:t>
      </w:r>
      <w:r w:rsidR="00C50002">
        <w:t>Beleuchtungsstärken</w:t>
      </w:r>
      <w:r w:rsidR="00EF55C6">
        <w:t xml:space="preserve"> erfolgen oder mittels eines vereinfachte</w:t>
      </w:r>
      <w:r w:rsidR="00153A91">
        <w:t xml:space="preserve">n Verfahrens mit dem </w:t>
      </w:r>
      <w:r w:rsidR="00222C1D" w:rsidRPr="00222C1D">
        <w:t>etablierten Tageslichtquotiente</w:t>
      </w:r>
      <w:r w:rsidR="00153A91">
        <w:t>n</w:t>
      </w:r>
      <w:r w:rsidR="00222C1D" w:rsidRPr="00222C1D">
        <w:t xml:space="preserve"> stattfinden. „Das neue Verfahren zur</w:t>
      </w:r>
      <w:r w:rsidR="00756BD5">
        <w:t xml:space="preserve"> Überprüfung </w:t>
      </w:r>
      <w:r w:rsidR="00267D7D">
        <w:t xml:space="preserve">der Tageslichtversorgung </w:t>
      </w:r>
      <w:r w:rsidR="00222C1D" w:rsidRPr="00222C1D">
        <w:t xml:space="preserve">ist im Vergleich zu </w:t>
      </w:r>
      <w:r w:rsidR="001C19AD">
        <w:t>de</w:t>
      </w:r>
      <w:r w:rsidR="00222C1D" w:rsidRPr="00222C1D">
        <w:t xml:space="preserve">r einfachen Angabe einer Mindest-Fenstergröße aufwändiger. Dafür ist es </w:t>
      </w:r>
      <w:r w:rsidR="00451C73">
        <w:t xml:space="preserve">ergebnisorientiert und </w:t>
      </w:r>
      <w:r w:rsidR="00222C1D" w:rsidRPr="00222C1D">
        <w:t>zuverlässig</w:t>
      </w:r>
      <w:r w:rsidR="006A76A1">
        <w:t>er</w:t>
      </w:r>
      <w:r w:rsidR="00222C1D" w:rsidRPr="00222C1D">
        <w:t>, um den Nutzern eines Gebäudes eine ausreichende Menge an Tageslicht zu</w:t>
      </w:r>
      <w:r w:rsidR="001C19AD">
        <w:t>r</w:t>
      </w:r>
      <w:r w:rsidR="00222C1D" w:rsidRPr="00222C1D">
        <w:t xml:space="preserve"> </w:t>
      </w:r>
      <w:r w:rsidR="00ED79BA">
        <w:t>Verfügung zu stellen</w:t>
      </w:r>
      <w:r w:rsidR="00222C1D" w:rsidRPr="00222C1D">
        <w:t xml:space="preserve">“, erklärt </w:t>
      </w:r>
      <w:r w:rsidR="001D3357">
        <w:t>Katrin Winkler</w:t>
      </w:r>
      <w:r w:rsidR="00222C1D" w:rsidRPr="00222C1D">
        <w:t xml:space="preserve"> von Velux.</w:t>
      </w:r>
      <w:r w:rsidR="009A50F5">
        <w:t xml:space="preserve"> „Da die Berechnung relativ komplex und für unsere meisten Partner im Handwerk sehr aufwändig wäre, wollten wir hier eine Hilfestellung bieten.“</w:t>
      </w:r>
      <w:r w:rsidR="00222C1D" w:rsidRPr="00222C1D">
        <w:t xml:space="preserve"> </w:t>
      </w:r>
      <w:r w:rsidR="009A50F5">
        <w:t>So kann e</w:t>
      </w:r>
      <w:r w:rsidR="00813975">
        <w:t xml:space="preserve">ine </w:t>
      </w:r>
      <w:r w:rsidR="00D06927" w:rsidRPr="00222C1D">
        <w:t>Faustformel bei der Annäherung an die ausreichende Fensterfläche</w:t>
      </w:r>
      <w:r w:rsidR="00CE724D">
        <w:t xml:space="preserve"> helfen</w:t>
      </w:r>
      <w:r w:rsidR="00D06927" w:rsidRPr="00222C1D">
        <w:t>.</w:t>
      </w:r>
      <w:r w:rsidR="00D06927">
        <w:t xml:space="preserve"> </w:t>
      </w:r>
      <w:r w:rsidR="00CE724D">
        <w:t>Dafür führte Velux einige</w:t>
      </w:r>
      <w:r w:rsidR="00222C1D" w:rsidRPr="00222C1D">
        <w:t xml:space="preserve"> </w:t>
      </w:r>
      <w:r w:rsidR="001D3357">
        <w:t>Berechnungen mit verschiedenen Muster-Räumen durch</w:t>
      </w:r>
      <w:r w:rsidR="00CE724D">
        <w:t xml:space="preserve">. Aus </w:t>
      </w:r>
      <w:r w:rsidR="00503466">
        <w:t xml:space="preserve">den jeweils benötigten Glasflächen </w:t>
      </w:r>
      <w:r w:rsidR="001D3357">
        <w:t xml:space="preserve">ließ sich </w:t>
      </w:r>
      <w:r w:rsidR="00503466">
        <w:t xml:space="preserve">folgende Ableitung </w:t>
      </w:r>
      <w:r w:rsidR="00813975">
        <w:t>erschließen</w:t>
      </w:r>
      <w:r w:rsidR="00451C73">
        <w:t>:</w:t>
      </w:r>
      <w:r w:rsidR="001D3357">
        <w:t xml:space="preserve"> </w:t>
      </w:r>
      <w:r w:rsidR="00451C73">
        <w:t>I</w:t>
      </w:r>
      <w:r w:rsidR="00FC032D">
        <w:t>n</w:t>
      </w:r>
      <w:r w:rsidR="00A50B85">
        <w:t xml:space="preserve"> </w:t>
      </w:r>
      <w:r w:rsidR="004638DD">
        <w:t>den meisten</w:t>
      </w:r>
      <w:r w:rsidR="00FC032D">
        <w:t xml:space="preserve"> Fällen </w:t>
      </w:r>
      <w:r w:rsidR="00451C73">
        <w:t xml:space="preserve">führt </w:t>
      </w:r>
      <w:r w:rsidR="00FC032D">
        <w:t xml:space="preserve">eine Fensterfläche von 20 bis 25 Prozent der Grundfläche des Raums zur Erfüllung der Tageslicht-Norm. </w:t>
      </w:r>
      <w:r w:rsidR="00813975">
        <w:t xml:space="preserve">Im Vergleich zu den LBO führt die neue </w:t>
      </w:r>
      <w:r w:rsidR="00451C73">
        <w:t>Norm</w:t>
      </w:r>
      <w:r w:rsidR="00813975">
        <w:t xml:space="preserve"> </w:t>
      </w:r>
      <w:r w:rsidR="009A50F5">
        <w:t>al</w:t>
      </w:r>
      <w:r w:rsidR="00813975">
        <w:t>so</w:t>
      </w:r>
      <w:r w:rsidR="007A6901">
        <w:t xml:space="preserve"> in </w:t>
      </w:r>
      <w:r w:rsidR="001A4639">
        <w:t>vielen Situationen</w:t>
      </w:r>
      <w:r w:rsidR="00813975">
        <w:t xml:space="preserve"> zu einer Verdopplung der </w:t>
      </w:r>
      <w:r w:rsidR="00F850D1">
        <w:t>Fensterfläche</w:t>
      </w:r>
      <w:r w:rsidR="00813975">
        <w:t xml:space="preserve">. </w:t>
      </w:r>
      <w:r w:rsidR="00367B74">
        <w:t>„Mit der Faustformel von 20 bis 25 Prozent fällt es Bauherren und Handwerkern einfacher, sich der Norm möglichst praktikabel anzunähern.“</w:t>
      </w:r>
      <w:r w:rsidR="00451C73">
        <w:t xml:space="preserve"> </w:t>
      </w:r>
      <w:r w:rsidR="006129AE">
        <w:t xml:space="preserve">Wer eine </w:t>
      </w:r>
      <w:r w:rsidR="00527754">
        <w:t xml:space="preserve">verlässliche </w:t>
      </w:r>
      <w:r w:rsidR="00451C73">
        <w:lastRenderedPageBreak/>
        <w:t xml:space="preserve">Erfüllung der Norm </w:t>
      </w:r>
      <w:r w:rsidR="00F372CF">
        <w:t>garantieren</w:t>
      </w:r>
      <w:r w:rsidR="006129AE">
        <w:t xml:space="preserve"> will, m</w:t>
      </w:r>
      <w:r w:rsidR="00A41E90">
        <w:t>uss</w:t>
      </w:r>
      <w:r w:rsidR="00451C73">
        <w:t xml:space="preserve"> </w:t>
      </w:r>
      <w:r w:rsidR="00A41E90">
        <w:t xml:space="preserve">noch </w:t>
      </w:r>
      <w:r w:rsidR="00451C73">
        <w:t xml:space="preserve">eine Validierung </w:t>
      </w:r>
      <w:r w:rsidR="00CE724D">
        <w:t xml:space="preserve">etwa </w:t>
      </w:r>
      <w:r w:rsidR="00451C73">
        <w:t xml:space="preserve">mit </w:t>
      </w:r>
      <w:r w:rsidR="007E16DF">
        <w:t xml:space="preserve">einer geeigneten Software </w:t>
      </w:r>
      <w:r w:rsidR="00F565BE">
        <w:t>durchführen</w:t>
      </w:r>
      <w:r w:rsidR="007E16DF">
        <w:t>.</w:t>
      </w:r>
    </w:p>
    <w:p w14:paraId="08B225DA" w14:textId="77777777" w:rsidR="00E46DA0" w:rsidRDefault="00E46DA0" w:rsidP="00E46DA0">
      <w:pPr>
        <w:autoSpaceDE w:val="0"/>
        <w:autoSpaceDN w:val="0"/>
        <w:adjustRightInd w:val="0"/>
        <w:spacing w:line="240" w:lineRule="auto"/>
      </w:pPr>
    </w:p>
    <w:p w14:paraId="56DF9D5C" w14:textId="60DF1ECD" w:rsidR="00222C1D" w:rsidRDefault="00D06927" w:rsidP="00222C1D">
      <w:pPr>
        <w:autoSpaceDE w:val="0"/>
        <w:autoSpaceDN w:val="0"/>
        <w:adjustRightInd w:val="0"/>
        <w:spacing w:after="120"/>
      </w:pPr>
      <w:r>
        <w:t xml:space="preserve">Neben der Helligkeit in Innenräumen geht die DIN EN 17037 auch auf die Themen Aussicht, Besonnung und Blendung ein. </w:t>
      </w:r>
      <w:r w:rsidR="009A0074">
        <w:t>Für die „Sichtverbindung nach außen“ liefert die Norm Qualitätsanforderungen, ob man den Boden, die Landschaft und/oder Himmel beim Blick nach draußen</w:t>
      </w:r>
      <w:r w:rsidR="00EA16E1">
        <w:t xml:space="preserve"> von verschiedenen Positionen im Raum </w:t>
      </w:r>
      <w:proofErr w:type="gramStart"/>
      <w:r w:rsidR="00EA16E1">
        <w:t>aus</w:t>
      </w:r>
      <w:r w:rsidR="009A0074">
        <w:t xml:space="preserve"> sieht</w:t>
      </w:r>
      <w:proofErr w:type="gramEnd"/>
      <w:r w:rsidR="009A0074">
        <w:t>. Die tatsächliche Versorgung eines Raums mit direktem Sonnenlicht wird außerdem durch die Dauer der Sonneneinstrahlung bewertet. Für den Bedarf gegen Blendung legt die Norm Richtwerte auf Basis der Wahrscheinlichkeit, vom Tageslicht geblendet zu werden, fest</w:t>
      </w:r>
      <w:r w:rsidR="00F9367E">
        <w:t>: So sollen Nutzer maximal 5</w:t>
      </w:r>
      <w:r w:rsidR="00067EEF">
        <w:t xml:space="preserve"> </w:t>
      </w:r>
      <w:r w:rsidR="00F9367E">
        <w:t xml:space="preserve">% der Nutzungszeit der Wahrscheinlichkeit ausgesetzt sein, durch Blendung gestört zu werden. </w:t>
      </w:r>
      <w:r w:rsidR="00DB2830">
        <w:t>Werden</w:t>
      </w:r>
      <w:r w:rsidR="00F9367E">
        <w:t xml:space="preserve"> diese überschritten, </w:t>
      </w:r>
      <w:r w:rsidR="009B084D">
        <w:t>sollte</w:t>
      </w:r>
      <w:r w:rsidR="00F9367E">
        <w:t xml:space="preserve"> der passende </w:t>
      </w:r>
      <w:proofErr w:type="spellStart"/>
      <w:r w:rsidR="00F9367E">
        <w:t>Blend</w:t>
      </w:r>
      <w:proofErr w:type="spellEnd"/>
      <w:r w:rsidR="00F9367E">
        <w:t>- und Sonnenschutz eingeplant werden.</w:t>
      </w:r>
      <w:r w:rsidR="009A0074">
        <w:t xml:space="preserve"> </w:t>
      </w:r>
    </w:p>
    <w:p w14:paraId="49381D64" w14:textId="69366B42" w:rsidR="0031678A" w:rsidRDefault="008734A5" w:rsidP="008734A5">
      <w:pPr>
        <w:autoSpaceDE w:val="0"/>
        <w:autoSpaceDN w:val="0"/>
        <w:adjustRightInd w:val="0"/>
      </w:pPr>
      <w:r>
        <w:t>Die europaweite Tageslicht-Norm hat einen Richtwert-Charakter und spricht Empfehlungen aus, die sich positiv auf Wohn- und Nutzungsqualität auswirken</w:t>
      </w:r>
      <w:r w:rsidR="003E693A">
        <w:t xml:space="preserve">. </w:t>
      </w:r>
      <w:r w:rsidR="007E16DF">
        <w:t>„Die neue Norm bildet den aktuellen Stand der Technik ab</w:t>
      </w:r>
      <w:r w:rsidR="00C27740">
        <w:t xml:space="preserve"> und gibt eine hilfreiche Orientierung zur Einschätzung von ausreichender Tageslichtversorgung</w:t>
      </w:r>
      <w:r>
        <w:t>. Im europäischen Vergleich war</w:t>
      </w:r>
      <w:r w:rsidR="002A6810">
        <w:t>en die Vorgaben in</w:t>
      </w:r>
      <w:r>
        <w:t xml:space="preserve"> Deutschland </w:t>
      </w:r>
      <w:r w:rsidR="00F9367E">
        <w:t xml:space="preserve">bislang </w:t>
      </w:r>
      <w:r>
        <w:t xml:space="preserve">nur im Mittelfeld </w:t>
      </w:r>
      <w:r w:rsidR="009B084D">
        <w:t>anzuordnen</w:t>
      </w:r>
      <w:r>
        <w:t xml:space="preserve">“, so Katrin Winkler. „Mit den neuen Richtwerten </w:t>
      </w:r>
      <w:r w:rsidR="005141CA">
        <w:t xml:space="preserve">unterstützt </w:t>
      </w:r>
      <w:r>
        <w:t xml:space="preserve">man europaweit </w:t>
      </w:r>
      <w:r w:rsidR="007E16DF">
        <w:t xml:space="preserve">eine </w:t>
      </w:r>
      <w:r w:rsidR="00F372CF">
        <w:t>deutlich bessere</w:t>
      </w:r>
      <w:r w:rsidR="007E16DF">
        <w:t xml:space="preserve"> Tageslichtversorgung, die </w:t>
      </w:r>
      <w:r w:rsidR="007F333B">
        <w:t xml:space="preserve">neben der Reduzierung von Kunstlichteinsatz </w:t>
      </w:r>
      <w:r w:rsidR="007E16DF">
        <w:t>zum Wohlbefinden und zur Gesundheit der Nutzer beiträgt</w:t>
      </w:r>
      <w:r>
        <w:t>.“</w:t>
      </w:r>
    </w:p>
    <w:p w14:paraId="08CC744D" w14:textId="77777777" w:rsidR="00100499" w:rsidRDefault="00100499">
      <w:pPr>
        <w:spacing w:line="240" w:lineRule="auto"/>
        <w:rPr>
          <w:b/>
        </w:rPr>
      </w:pPr>
    </w:p>
    <w:p w14:paraId="1F4FC331" w14:textId="77777777" w:rsidR="002E2679" w:rsidRDefault="002E2679">
      <w:pPr>
        <w:spacing w:line="240" w:lineRule="auto"/>
        <w:rPr>
          <w:b/>
        </w:rPr>
      </w:pPr>
      <w:r>
        <w:rPr>
          <w:b/>
        </w:rPr>
        <w:br w:type="page"/>
      </w:r>
    </w:p>
    <w:p w14:paraId="2A5FCC71" w14:textId="0A0FE84F" w:rsidR="00FF22B0" w:rsidRDefault="0041272B" w:rsidP="0038078A">
      <w:pPr>
        <w:spacing w:after="120" w:line="240" w:lineRule="auto"/>
        <w:rPr>
          <w:b/>
        </w:rPr>
      </w:pPr>
      <w:r w:rsidRPr="00EC1042">
        <w:rPr>
          <w:b/>
        </w:rPr>
        <w:lastRenderedPageBreak/>
        <w:t>Bildunterschrift</w:t>
      </w:r>
      <w:r>
        <w:rPr>
          <w:b/>
        </w:rPr>
        <w:t>en</w:t>
      </w:r>
    </w:p>
    <w:p w14:paraId="0A64440F" w14:textId="15C39F14" w:rsidR="0002530B" w:rsidRDefault="00182F0F" w:rsidP="0002530B">
      <w:pPr>
        <w:spacing w:after="120" w:line="240" w:lineRule="auto"/>
      </w:pPr>
      <w:bookmarkStart w:id="2" w:name="_Hlk30084408"/>
      <w:bookmarkStart w:id="3" w:name="_GoBack"/>
      <w:r>
        <w:rPr>
          <w:noProof/>
        </w:rPr>
        <w:drawing>
          <wp:inline distT="0" distB="0" distL="0" distR="0" wp14:anchorId="0CBA6DA7" wp14:editId="2A2F9B56">
            <wp:extent cx="3600000" cy="2263358"/>
            <wp:effectExtent l="0" t="0" r="63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3600000" cy="2263358"/>
                    </a:xfrm>
                    <a:prstGeom prst="rect">
                      <a:avLst/>
                    </a:prstGeom>
                  </pic:spPr>
                </pic:pic>
              </a:graphicData>
            </a:graphic>
          </wp:inline>
        </w:drawing>
      </w:r>
      <w:bookmarkEnd w:id="3"/>
    </w:p>
    <w:p w14:paraId="027CBE73" w14:textId="47E48757" w:rsidR="0002530B" w:rsidRPr="00EC1042" w:rsidRDefault="0002530B" w:rsidP="002E2679">
      <w:pPr>
        <w:autoSpaceDE w:val="0"/>
        <w:autoSpaceDN w:val="0"/>
        <w:adjustRightInd w:val="0"/>
      </w:pPr>
      <w:r w:rsidRPr="003F07CF">
        <w:t>[</w:t>
      </w:r>
      <w:r w:rsidR="00182F0F">
        <w:t>Grafik</w:t>
      </w:r>
      <w:r w:rsidRPr="003F07CF">
        <w:t xml:space="preserve">: </w:t>
      </w:r>
      <w:r>
        <w:t>velux_tageslichtnorm_</w:t>
      </w:r>
      <w:r w:rsidR="00182F0F">
        <w:t>verlauf</w:t>
      </w:r>
      <w:r>
        <w:t>.jpg</w:t>
      </w:r>
      <w:r w:rsidRPr="00EC1042">
        <w:t>]</w:t>
      </w:r>
    </w:p>
    <w:p w14:paraId="5F046D5E" w14:textId="32B848E7" w:rsidR="00E46DA0" w:rsidRPr="00E46DA0" w:rsidRDefault="00E46DA0" w:rsidP="00E46DA0">
      <w:pPr>
        <w:autoSpaceDE w:val="0"/>
        <w:autoSpaceDN w:val="0"/>
        <w:adjustRightInd w:val="0"/>
        <w:spacing w:line="240" w:lineRule="auto"/>
        <w:rPr>
          <w:i/>
        </w:rPr>
      </w:pPr>
      <w:r w:rsidRPr="00E46DA0">
        <w:rPr>
          <w:i/>
        </w:rPr>
        <w:t>Nach den Richtwerten der europaweit gültigen Tageslichtnorm sollen auf 50% der Bezugsfläche im Raum 300 Lux und auf 95% der Fläche mind</w:t>
      </w:r>
      <w:r w:rsidR="002E688E">
        <w:rPr>
          <w:i/>
        </w:rPr>
        <w:t>estens 100 Lux erreicht werden.</w:t>
      </w:r>
    </w:p>
    <w:p w14:paraId="31A812D2" w14:textId="1895D29D" w:rsidR="0002530B" w:rsidRDefault="0002530B" w:rsidP="002E2679">
      <w:pPr>
        <w:spacing w:line="240" w:lineRule="auto"/>
        <w:ind w:left="4956"/>
        <w:rPr>
          <w:i/>
        </w:rPr>
      </w:pPr>
      <w:r w:rsidRPr="00EC1042">
        <w:rPr>
          <w:i/>
        </w:rPr>
        <w:t>Foto: V</w:t>
      </w:r>
      <w:r>
        <w:rPr>
          <w:i/>
        </w:rPr>
        <w:t>elux</w:t>
      </w:r>
      <w:r w:rsidRPr="00EC1042">
        <w:rPr>
          <w:i/>
        </w:rPr>
        <w:t xml:space="preserve"> </w:t>
      </w:r>
      <w:r>
        <w:rPr>
          <w:i/>
        </w:rPr>
        <w:t>Deutschland GmbH</w:t>
      </w:r>
    </w:p>
    <w:bookmarkEnd w:id="2"/>
    <w:p w14:paraId="46BD7F57" w14:textId="591C8094" w:rsidR="00E82CAA" w:rsidRDefault="00E82CAA" w:rsidP="00BE509D">
      <w:pPr>
        <w:spacing w:after="120" w:line="240" w:lineRule="auto"/>
        <w:rPr>
          <w:i/>
        </w:rPr>
      </w:pPr>
    </w:p>
    <w:p w14:paraId="418FCCF5" w14:textId="77777777" w:rsidR="00BE509D" w:rsidRDefault="00BE509D" w:rsidP="00FF22B0">
      <w:pPr>
        <w:spacing w:after="120" w:line="240" w:lineRule="auto"/>
      </w:pPr>
    </w:p>
    <w:p w14:paraId="0FC7E3D9" w14:textId="2E34FB0C" w:rsidR="0002530B" w:rsidRDefault="0002530B" w:rsidP="00FF22B0">
      <w:pPr>
        <w:spacing w:after="120" w:line="240" w:lineRule="auto"/>
      </w:pPr>
      <w:r>
        <w:rPr>
          <w:noProof/>
        </w:rPr>
        <w:drawing>
          <wp:inline distT="0" distB="0" distL="0" distR="0" wp14:anchorId="27F189EC" wp14:editId="440C02C6">
            <wp:extent cx="2395726" cy="1800000"/>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2395726" cy="1800000"/>
                    </a:xfrm>
                    <a:prstGeom prst="rect">
                      <a:avLst/>
                    </a:prstGeom>
                  </pic:spPr>
                </pic:pic>
              </a:graphicData>
            </a:graphic>
          </wp:inline>
        </w:drawing>
      </w:r>
      <w:r>
        <w:t xml:space="preserve"> </w:t>
      </w:r>
      <w:r>
        <w:rPr>
          <w:noProof/>
        </w:rPr>
        <w:drawing>
          <wp:inline distT="0" distB="0" distL="0" distR="0" wp14:anchorId="2EE89832" wp14:editId="7ADE5560">
            <wp:extent cx="2388378" cy="18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a:ext>
                      </a:extLst>
                    </a:blip>
                    <a:stretch>
                      <a:fillRect/>
                    </a:stretch>
                  </pic:blipFill>
                  <pic:spPr>
                    <a:xfrm>
                      <a:off x="0" y="0"/>
                      <a:ext cx="2388378" cy="1800000"/>
                    </a:xfrm>
                    <a:prstGeom prst="rect">
                      <a:avLst/>
                    </a:prstGeom>
                  </pic:spPr>
                </pic:pic>
              </a:graphicData>
            </a:graphic>
          </wp:inline>
        </w:drawing>
      </w:r>
    </w:p>
    <w:p w14:paraId="427FE836" w14:textId="641E3C4A" w:rsidR="0002530B" w:rsidRPr="00EC1042" w:rsidRDefault="0002530B" w:rsidP="0002530B">
      <w:pPr>
        <w:spacing w:after="120" w:line="240" w:lineRule="auto"/>
      </w:pPr>
      <w:r w:rsidRPr="003F07CF">
        <w:t>[Foto</w:t>
      </w:r>
      <w:r w:rsidR="002E688E">
        <w:t>s</w:t>
      </w:r>
      <w:r w:rsidRPr="003F07CF">
        <w:t xml:space="preserve">: </w:t>
      </w:r>
      <w:r w:rsidR="002E688E" w:rsidRPr="002E688E">
        <w:t>velux_tageslichtnorm_121567-02</w:t>
      </w:r>
      <w:r w:rsidR="002E688E">
        <w:t xml:space="preserve"> &amp; </w:t>
      </w:r>
      <w:r w:rsidR="002E688E" w:rsidRPr="002E688E">
        <w:t>121567-03</w:t>
      </w:r>
      <w:r w:rsidRPr="00EC1042">
        <w:t>]</w:t>
      </w:r>
    </w:p>
    <w:p w14:paraId="3FFC357C" w14:textId="658ACAE0" w:rsidR="0002530B" w:rsidRPr="00FF22B0" w:rsidRDefault="00E82CAA" w:rsidP="0002530B">
      <w:pPr>
        <w:spacing w:after="120" w:line="240" w:lineRule="auto"/>
        <w:rPr>
          <w:i/>
        </w:rPr>
      </w:pPr>
      <w:r>
        <w:rPr>
          <w:i/>
        </w:rPr>
        <w:t>Die europäische Tageslichtnorm fordert deutlich mehr Tageslichtversorgung von Räumen als bisher.</w:t>
      </w:r>
    </w:p>
    <w:p w14:paraId="499CB608" w14:textId="01F93A42" w:rsidR="0002530B" w:rsidRDefault="0002530B" w:rsidP="0002530B">
      <w:pPr>
        <w:spacing w:after="120" w:line="240" w:lineRule="auto"/>
        <w:ind w:left="4956"/>
        <w:rPr>
          <w:i/>
        </w:rPr>
      </w:pPr>
      <w:r w:rsidRPr="00EC1042">
        <w:rPr>
          <w:i/>
        </w:rPr>
        <w:t>Foto</w:t>
      </w:r>
      <w:r w:rsidR="002E688E">
        <w:rPr>
          <w:i/>
        </w:rPr>
        <w:t>s</w:t>
      </w:r>
      <w:r w:rsidRPr="00EC1042">
        <w:rPr>
          <w:i/>
        </w:rPr>
        <w:t>: V</w:t>
      </w:r>
      <w:r>
        <w:rPr>
          <w:i/>
        </w:rPr>
        <w:t>elux</w:t>
      </w:r>
      <w:r w:rsidRPr="00EC1042">
        <w:rPr>
          <w:i/>
        </w:rPr>
        <w:t xml:space="preserve"> </w:t>
      </w:r>
      <w:r>
        <w:rPr>
          <w:i/>
        </w:rPr>
        <w:t>Deutschland GmbH</w:t>
      </w:r>
    </w:p>
    <w:p w14:paraId="748CBF12" w14:textId="77777777" w:rsidR="0002530B" w:rsidRDefault="0002530B" w:rsidP="00FF22B0">
      <w:pPr>
        <w:spacing w:after="120" w:line="240" w:lineRule="auto"/>
      </w:pPr>
    </w:p>
    <w:p w14:paraId="2260204F" w14:textId="77777777" w:rsidR="00F024F2" w:rsidRDefault="00FF22B0" w:rsidP="00FF22B0">
      <w:pPr>
        <w:spacing w:after="120" w:line="240" w:lineRule="auto"/>
      </w:pPr>
      <w:r>
        <w:rPr>
          <w:noProof/>
        </w:rPr>
        <w:lastRenderedPageBreak/>
        <w:drawing>
          <wp:inline distT="0" distB="0" distL="0" distR="0" wp14:anchorId="15EB6D38" wp14:editId="4663DCDB">
            <wp:extent cx="4778974" cy="1980000"/>
            <wp:effectExtent l="19050" t="19050" r="22225" b="203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778974" cy="1980000"/>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p>
    <w:p w14:paraId="3832E651" w14:textId="79072695" w:rsidR="00FF22B0" w:rsidRPr="00EC1042" w:rsidRDefault="00FF22B0" w:rsidP="00FF22B0">
      <w:pPr>
        <w:spacing w:after="120" w:line="240" w:lineRule="auto"/>
      </w:pPr>
      <w:r w:rsidRPr="003F07CF">
        <w:t>[</w:t>
      </w:r>
      <w:r w:rsidR="00182F0F">
        <w:t>Grafik</w:t>
      </w:r>
      <w:r w:rsidRPr="003F07CF">
        <w:t xml:space="preserve">: </w:t>
      </w:r>
      <w:r>
        <w:t>velux_tageslichtnorm_entwicklung.jpg</w:t>
      </w:r>
      <w:r w:rsidRPr="00EC1042">
        <w:t>]</w:t>
      </w:r>
    </w:p>
    <w:p w14:paraId="13BA850C" w14:textId="77777777" w:rsidR="00FF22B0" w:rsidRPr="00FF22B0" w:rsidRDefault="00FF22B0" w:rsidP="00FF22B0">
      <w:pPr>
        <w:spacing w:after="120" w:line="240" w:lineRule="auto"/>
        <w:rPr>
          <w:i/>
        </w:rPr>
      </w:pPr>
      <w:r w:rsidRPr="00FF22B0">
        <w:rPr>
          <w:i/>
        </w:rPr>
        <w:t>Mit Hilfe von Berechnungen an Beispiel-Räumen lässt sich die Faustregel festhalten: In nahezu allen Fällen führte eine Fensterfläche von 20 bis 25 Prozent</w:t>
      </w:r>
      <w:r>
        <w:rPr>
          <w:i/>
        </w:rPr>
        <w:t xml:space="preserve"> </w:t>
      </w:r>
      <w:r w:rsidRPr="00FF22B0">
        <w:rPr>
          <w:i/>
        </w:rPr>
        <w:t>der Grundfläche des Raums zur Erfüllung der Tageslicht-Norm</w:t>
      </w:r>
      <w:r>
        <w:rPr>
          <w:i/>
        </w:rPr>
        <w:t>, etwa doppelt so viel Fensterfläche wie in der Landesbauordnung vorgesehen.</w:t>
      </w:r>
    </w:p>
    <w:p w14:paraId="758EEC1B" w14:textId="77777777" w:rsidR="00FF22B0" w:rsidRDefault="00FF22B0" w:rsidP="00FF22B0">
      <w:pPr>
        <w:spacing w:after="120" w:line="240" w:lineRule="auto"/>
        <w:ind w:left="4956"/>
        <w:rPr>
          <w:i/>
        </w:rPr>
      </w:pPr>
      <w:r w:rsidRPr="00EC1042">
        <w:rPr>
          <w:i/>
        </w:rPr>
        <w:t>Foto: V</w:t>
      </w:r>
      <w:r>
        <w:rPr>
          <w:i/>
        </w:rPr>
        <w:t>elux</w:t>
      </w:r>
      <w:r w:rsidRPr="00EC1042">
        <w:rPr>
          <w:i/>
        </w:rPr>
        <w:t xml:space="preserve"> </w:t>
      </w:r>
      <w:r>
        <w:rPr>
          <w:i/>
        </w:rPr>
        <w:t>Deutschland GmbH</w:t>
      </w:r>
    </w:p>
    <w:p w14:paraId="269661D3" w14:textId="6E9763F8" w:rsidR="0041272B" w:rsidRDefault="0041272B" w:rsidP="0038078A">
      <w:pPr>
        <w:spacing w:after="120" w:line="240" w:lineRule="auto"/>
        <w:rPr>
          <w:b/>
        </w:rPr>
      </w:pPr>
    </w:p>
    <w:p w14:paraId="33C52710" w14:textId="42CB425A" w:rsidR="003C68BD" w:rsidRDefault="000246FE" w:rsidP="0038078A">
      <w:pPr>
        <w:spacing w:after="120" w:line="240" w:lineRule="auto"/>
        <w:rPr>
          <w:rFonts w:cs="Arial"/>
          <w:bCs/>
          <w:szCs w:val="22"/>
        </w:rPr>
      </w:pPr>
      <w:r w:rsidRPr="000246F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F2084">
        <w:rPr>
          <w:noProof/>
        </w:rPr>
        <w:drawing>
          <wp:inline distT="0" distB="0" distL="0" distR="0" wp14:anchorId="5A2101E2" wp14:editId="473A14A0">
            <wp:extent cx="2340000" cy="1579926"/>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a:ext>
                      </a:extLst>
                    </a:blip>
                    <a:stretch>
                      <a:fillRect/>
                    </a:stretch>
                  </pic:blipFill>
                  <pic:spPr>
                    <a:xfrm>
                      <a:off x="0" y="0"/>
                      <a:ext cx="2340000" cy="1579926"/>
                    </a:xfrm>
                    <a:prstGeom prst="rect">
                      <a:avLst/>
                    </a:prstGeom>
                  </pic:spPr>
                </pic:pic>
              </a:graphicData>
            </a:graphic>
          </wp:inline>
        </w:drawing>
      </w:r>
      <w:r w:rsidR="0002530B">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02530B" w:rsidRPr="0002530B">
        <w:rPr>
          <w:rFonts w:ascii="Times New Roman" w:hAnsi="Times New Roman"/>
          <w:snapToGrid w:val="0"/>
          <w:color w:val="000000"/>
          <w:w w:val="0"/>
          <w:szCs w:val="22"/>
          <w:u w:color="000000"/>
          <w:bdr w:val="none" w:sz="0" w:space="0" w:color="000000"/>
          <w:shd w:val="clear" w:color="auto" w:fill="FFFFFF" w:themeFill="background1"/>
          <w:lang w:eastAsia="x-none" w:bidi="x-none"/>
        </w:rPr>
        <w:t xml:space="preserve"> </w:t>
      </w:r>
      <w:r w:rsidR="0002530B">
        <w:rPr>
          <w:noProof/>
        </w:rPr>
        <w:drawing>
          <wp:inline distT="0" distB="0" distL="0" distR="0" wp14:anchorId="75DFB83E" wp14:editId="18A1732D">
            <wp:extent cx="2340000" cy="1575089"/>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a:ext>
                      </a:extLst>
                    </a:blip>
                    <a:stretch>
                      <a:fillRect/>
                    </a:stretch>
                  </pic:blipFill>
                  <pic:spPr>
                    <a:xfrm>
                      <a:off x="0" y="0"/>
                      <a:ext cx="2340000" cy="1575089"/>
                    </a:xfrm>
                    <a:prstGeom prst="rect">
                      <a:avLst/>
                    </a:prstGeom>
                  </pic:spPr>
                </pic:pic>
              </a:graphicData>
            </a:graphic>
          </wp:inline>
        </w:drawing>
      </w:r>
    </w:p>
    <w:p w14:paraId="2874C401" w14:textId="122AF35F" w:rsidR="009F2084" w:rsidRDefault="009F2084" w:rsidP="009F2084">
      <w:pPr>
        <w:spacing w:after="120" w:line="240" w:lineRule="auto"/>
        <w:jc w:val="both"/>
        <w:rPr>
          <w:i/>
        </w:rPr>
      </w:pPr>
      <w:r>
        <w:rPr>
          <w:noProof/>
        </w:rPr>
        <w:drawing>
          <wp:inline distT="0" distB="0" distL="0" distR="0" wp14:anchorId="56A1F920" wp14:editId="40945D8E">
            <wp:extent cx="2340000" cy="1581066"/>
            <wp:effectExtent l="0" t="0" r="317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a:ext>
                      </a:extLst>
                    </a:blip>
                    <a:stretch>
                      <a:fillRect/>
                    </a:stretch>
                  </pic:blipFill>
                  <pic:spPr>
                    <a:xfrm>
                      <a:off x="0" y="0"/>
                      <a:ext cx="2340000" cy="1581066"/>
                    </a:xfrm>
                    <a:prstGeom prst="rect">
                      <a:avLst/>
                    </a:prstGeom>
                  </pic:spPr>
                </pic:pic>
              </a:graphicData>
            </a:graphic>
          </wp:inline>
        </w:drawing>
      </w:r>
      <w:r w:rsidR="0002530B">
        <w:rPr>
          <w:i/>
        </w:rPr>
        <w:t xml:space="preserve"> </w:t>
      </w:r>
      <w:r>
        <w:rPr>
          <w:noProof/>
        </w:rPr>
        <w:drawing>
          <wp:inline distT="0" distB="0" distL="0" distR="0" wp14:anchorId="654E8ABE" wp14:editId="2B951653">
            <wp:extent cx="2340000" cy="1576512"/>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a:ext>
                      </a:extLst>
                    </a:blip>
                    <a:stretch>
                      <a:fillRect/>
                    </a:stretch>
                  </pic:blipFill>
                  <pic:spPr>
                    <a:xfrm>
                      <a:off x="0" y="0"/>
                      <a:ext cx="2340000" cy="1576512"/>
                    </a:xfrm>
                    <a:prstGeom prst="rect">
                      <a:avLst/>
                    </a:prstGeom>
                  </pic:spPr>
                </pic:pic>
              </a:graphicData>
            </a:graphic>
          </wp:inline>
        </w:drawing>
      </w:r>
    </w:p>
    <w:p w14:paraId="3084FB22" w14:textId="6D0D8CDB" w:rsidR="009F2084" w:rsidRPr="00EC1042" w:rsidRDefault="009F2084" w:rsidP="009F2084">
      <w:pPr>
        <w:spacing w:after="120" w:line="240" w:lineRule="auto"/>
      </w:pPr>
      <w:r w:rsidRPr="003F07CF">
        <w:t>[Foto</w:t>
      </w:r>
      <w:r w:rsidR="00182F0F">
        <w:t>s</w:t>
      </w:r>
      <w:r w:rsidRPr="003F07CF">
        <w:t xml:space="preserve">: </w:t>
      </w:r>
      <w:r w:rsidR="00182F0F" w:rsidRPr="00182F0F">
        <w:t>velux_tageslichtnorm_raum_0</w:t>
      </w:r>
      <w:r w:rsidR="00182F0F">
        <w:t>1</w:t>
      </w:r>
      <w:r w:rsidR="00DB43BA">
        <w:t xml:space="preserve"> &amp; 02 &amp; 03 &amp; 04</w:t>
      </w:r>
      <w:r w:rsidRPr="00EC1042">
        <w:t>]</w:t>
      </w:r>
    </w:p>
    <w:p w14:paraId="78A319B2" w14:textId="6A70F0F0" w:rsidR="009F2084" w:rsidRDefault="00C754DA" w:rsidP="009F2084">
      <w:pPr>
        <w:spacing w:after="120" w:line="240" w:lineRule="auto"/>
        <w:rPr>
          <w:i/>
        </w:rPr>
      </w:pPr>
      <w:r>
        <w:rPr>
          <w:i/>
        </w:rPr>
        <w:t xml:space="preserve">Der Vergleich zwischen </w:t>
      </w:r>
      <w:r w:rsidR="00FF22B0">
        <w:rPr>
          <w:i/>
        </w:rPr>
        <w:t xml:space="preserve">jeweils </w:t>
      </w:r>
      <w:r>
        <w:rPr>
          <w:i/>
        </w:rPr>
        <w:t>einem Raum</w:t>
      </w:r>
      <w:r w:rsidR="00FF22B0">
        <w:rPr>
          <w:i/>
        </w:rPr>
        <w:t xml:space="preserve"> nach den </w:t>
      </w:r>
      <w:r>
        <w:rPr>
          <w:i/>
        </w:rPr>
        <w:t xml:space="preserve">Anforderungen der Landesbauordnung </w:t>
      </w:r>
      <w:r w:rsidR="00A8671D">
        <w:rPr>
          <w:i/>
        </w:rPr>
        <w:t xml:space="preserve">(jeweils links) </w:t>
      </w:r>
      <w:r>
        <w:rPr>
          <w:i/>
        </w:rPr>
        <w:t>und einem Raum, der die Tageslicht-Norm erfüllt</w:t>
      </w:r>
      <w:r w:rsidR="00A8671D">
        <w:rPr>
          <w:i/>
        </w:rPr>
        <w:t xml:space="preserve"> (jeweils rechts)</w:t>
      </w:r>
      <w:r>
        <w:rPr>
          <w:i/>
        </w:rPr>
        <w:t xml:space="preserve">, zeigt den starken Unterschied </w:t>
      </w:r>
      <w:r w:rsidR="00FF22B0">
        <w:rPr>
          <w:i/>
        </w:rPr>
        <w:t>in der Tageslichtversorgung.</w:t>
      </w:r>
    </w:p>
    <w:p w14:paraId="241DB368" w14:textId="7A8ABF4D" w:rsidR="009F2084" w:rsidRDefault="009F2084" w:rsidP="009F2084">
      <w:pPr>
        <w:spacing w:after="120" w:line="240" w:lineRule="auto"/>
        <w:ind w:left="4956"/>
        <w:rPr>
          <w:i/>
        </w:rPr>
      </w:pPr>
      <w:r w:rsidRPr="00EC1042">
        <w:rPr>
          <w:i/>
        </w:rPr>
        <w:t>Foto</w:t>
      </w:r>
      <w:r w:rsidR="00DB43BA">
        <w:rPr>
          <w:i/>
        </w:rPr>
        <w:t>s</w:t>
      </w:r>
      <w:r w:rsidRPr="00EC1042">
        <w:rPr>
          <w:i/>
        </w:rPr>
        <w:t>: V</w:t>
      </w:r>
      <w:r>
        <w:rPr>
          <w:i/>
        </w:rPr>
        <w:t>elux</w:t>
      </w:r>
      <w:r w:rsidRPr="00EC1042">
        <w:rPr>
          <w:i/>
        </w:rPr>
        <w:t xml:space="preserve"> </w:t>
      </w:r>
      <w:r>
        <w:rPr>
          <w:i/>
        </w:rPr>
        <w:t>Deutschland GmbH</w:t>
      </w:r>
    </w:p>
    <w:p w14:paraId="2B10CC1C" w14:textId="77777777" w:rsidR="00A8751D" w:rsidRPr="00DD3194" w:rsidRDefault="00A8751D" w:rsidP="0038078A">
      <w:pPr>
        <w:spacing w:after="120" w:line="240" w:lineRule="auto"/>
        <w:rPr>
          <w:rFonts w:cs="Arial"/>
          <w:bCs/>
          <w:szCs w:val="22"/>
        </w:rPr>
      </w:pPr>
    </w:p>
    <w:p w14:paraId="69669408" w14:textId="60451640" w:rsidR="00B115AA" w:rsidRDefault="00B115AA" w:rsidP="00B115AA">
      <w:pPr>
        <w:spacing w:after="120" w:line="240" w:lineRule="auto"/>
        <w:rPr>
          <w:sz w:val="20"/>
          <w:szCs w:val="20"/>
        </w:rPr>
      </w:pPr>
      <w:r w:rsidRPr="00080AB8">
        <w:rPr>
          <w:b/>
          <w:bCs/>
          <w:sz w:val="20"/>
          <w:szCs w:val="20"/>
        </w:rPr>
        <w:t>Über die Velux Deutschland GmbH</w:t>
      </w:r>
      <w:r w:rsidRPr="00080AB8">
        <w:rPr>
          <w:sz w:val="20"/>
          <w:szCs w:val="20"/>
        </w:rPr>
        <w:br/>
      </w:r>
      <w:bookmarkStart w:id="4" w:name="_Hlk530563595"/>
      <w:r w:rsidRPr="00080AB8">
        <w:rPr>
          <w:sz w:val="20"/>
          <w:szCs w:val="20"/>
        </w:rPr>
        <w:t>Die Velux Deutschland GmbH mit Sitz in Hamburg ist ein Unternehmen der internationalen Velux Gruppe. Der weltweit größte Hersteller von Dachfenstern ist mit mehr als 1</w:t>
      </w:r>
      <w:r>
        <w:rPr>
          <w:sz w:val="20"/>
          <w:szCs w:val="20"/>
        </w:rPr>
        <w:t>1</w:t>
      </w:r>
      <w:r w:rsidRPr="00080AB8">
        <w:rPr>
          <w:sz w:val="20"/>
          <w:szCs w:val="20"/>
        </w:rPr>
        <w:t>.</w:t>
      </w:r>
      <w:r>
        <w:rPr>
          <w:sz w:val="20"/>
          <w:szCs w:val="20"/>
        </w:rPr>
        <w:t>5</w:t>
      </w:r>
      <w:r w:rsidRPr="00080AB8">
        <w:rPr>
          <w:sz w:val="20"/>
          <w:szCs w:val="20"/>
        </w:rPr>
        <w:t xml:space="preserve">00 Mitarbeitern in rund 40 Ländern vertreten. In Deutschland beschäftigt die Velux Gruppe in Produktion und Vertrieb </w:t>
      </w:r>
      <w:r>
        <w:rPr>
          <w:sz w:val="20"/>
          <w:szCs w:val="20"/>
        </w:rPr>
        <w:t>über</w:t>
      </w:r>
      <w:r w:rsidRPr="00080AB8">
        <w:rPr>
          <w:sz w:val="20"/>
          <w:szCs w:val="20"/>
        </w:rPr>
        <w:t xml:space="preserve"> 1.</w:t>
      </w:r>
      <w:r>
        <w:rPr>
          <w:sz w:val="20"/>
          <w:szCs w:val="20"/>
        </w:rPr>
        <w:t>6</w:t>
      </w:r>
      <w:r w:rsidRPr="00080AB8">
        <w:rPr>
          <w:sz w:val="20"/>
          <w:szCs w:val="20"/>
        </w:rPr>
        <w:t xml:space="preserve">00 Mitarbeiter. Neben Dachfenstern und anspruchsvollen Dachfensterlösungen für geneigte und flache Dächer umfasst die Produktpalette unter anderem Sonnenschutzprodukte, Rollläden und Zubehörprodukte für den Fenstereinbau. </w:t>
      </w:r>
      <w:r>
        <w:rPr>
          <w:sz w:val="20"/>
          <w:szCs w:val="20"/>
        </w:rPr>
        <w:t>Smart-Home-Lösungen und automatisierte Systeme</w:t>
      </w:r>
      <w:r w:rsidRPr="00080AB8">
        <w:rPr>
          <w:sz w:val="20"/>
          <w:szCs w:val="20"/>
        </w:rPr>
        <w:t xml:space="preserve"> tragen zu einem gesunden Raumklima bei und steigern den Wohnkomfort</w:t>
      </w:r>
      <w:r>
        <w:rPr>
          <w:sz w:val="20"/>
          <w:szCs w:val="20"/>
        </w:rPr>
        <w:t>;</w:t>
      </w:r>
      <w:r w:rsidRPr="00080AB8">
        <w:rPr>
          <w:sz w:val="20"/>
          <w:szCs w:val="20"/>
        </w:rPr>
        <w:t xml:space="preserve"> </w:t>
      </w:r>
      <w:r>
        <w:rPr>
          <w:sz w:val="20"/>
          <w:szCs w:val="20"/>
        </w:rPr>
        <w:t xml:space="preserve">energieeffiziente Produkte und die Produktion mit Holz aus nachhaltiger Forstwirtschaft leisten einen </w:t>
      </w:r>
      <w:r w:rsidRPr="00080AB8">
        <w:rPr>
          <w:sz w:val="20"/>
          <w:szCs w:val="20"/>
        </w:rPr>
        <w:t xml:space="preserve">Beitrag zum nachhaltigen Bauen und Wohnen. </w:t>
      </w:r>
      <w:r>
        <w:rPr>
          <w:sz w:val="20"/>
          <w:szCs w:val="20"/>
        </w:rPr>
        <w:t>Mit Velux Commercial</w:t>
      </w:r>
      <w:r w:rsidRPr="00080AB8">
        <w:rPr>
          <w:sz w:val="20"/>
          <w:szCs w:val="20"/>
        </w:rPr>
        <w:t xml:space="preserve"> </w:t>
      </w:r>
      <w:r>
        <w:rPr>
          <w:sz w:val="20"/>
          <w:szCs w:val="20"/>
        </w:rPr>
        <w:t xml:space="preserve">bietet ein eigener </w:t>
      </w:r>
      <w:r w:rsidRPr="00080AB8">
        <w:rPr>
          <w:sz w:val="20"/>
          <w:szCs w:val="20"/>
        </w:rPr>
        <w:t>Unternehme</w:t>
      </w:r>
      <w:r>
        <w:rPr>
          <w:sz w:val="20"/>
          <w:szCs w:val="20"/>
        </w:rPr>
        <w:t xml:space="preserve">nsbereich </w:t>
      </w:r>
      <w:r w:rsidRPr="00456D10">
        <w:rPr>
          <w:sz w:val="20"/>
          <w:szCs w:val="20"/>
        </w:rPr>
        <w:t>Tageslicht-</w:t>
      </w:r>
      <w:r w:rsidRPr="00080AB8">
        <w:rPr>
          <w:sz w:val="20"/>
          <w:szCs w:val="20"/>
        </w:rPr>
        <w:t>Lösung</w:t>
      </w:r>
      <w:r>
        <w:rPr>
          <w:sz w:val="20"/>
          <w:szCs w:val="20"/>
        </w:rPr>
        <w:t>en</w:t>
      </w:r>
      <w:r w:rsidRPr="00080AB8">
        <w:rPr>
          <w:sz w:val="20"/>
          <w:szCs w:val="20"/>
        </w:rPr>
        <w:t xml:space="preserve"> speziell für </w:t>
      </w:r>
      <w:r w:rsidRPr="0014714D">
        <w:rPr>
          <w:sz w:val="20"/>
          <w:szCs w:val="20"/>
        </w:rPr>
        <w:t xml:space="preserve">gewerbliche, öffentliche und industrielle </w:t>
      </w:r>
      <w:r w:rsidRPr="00080AB8">
        <w:rPr>
          <w:sz w:val="20"/>
          <w:szCs w:val="20"/>
        </w:rPr>
        <w:t>Gebäude.</w:t>
      </w:r>
    </w:p>
    <w:bookmarkEnd w:id="4"/>
    <w:p w14:paraId="1F49F2EA" w14:textId="77777777" w:rsidR="00B115AA" w:rsidRDefault="00B115AA" w:rsidP="00B115AA">
      <w:pPr>
        <w:spacing w:line="240" w:lineRule="auto"/>
        <w:rPr>
          <w:rFonts w:cs="Arial"/>
          <w:sz w:val="20"/>
          <w:szCs w:val="20"/>
        </w:rPr>
      </w:pPr>
      <w:r>
        <w:rPr>
          <w:rFonts w:cs="Arial"/>
          <w:sz w:val="20"/>
          <w:szCs w:val="20"/>
        </w:rPr>
        <w:t xml:space="preserve">Weitere Informationen unter </w:t>
      </w:r>
      <w:hyperlink r:id="rId19" w:history="1">
        <w:r>
          <w:rPr>
            <w:rStyle w:val="Hyperlink"/>
            <w:rFonts w:cs="Arial"/>
            <w:sz w:val="20"/>
            <w:szCs w:val="20"/>
          </w:rPr>
          <w:t>www.velux.de</w:t>
        </w:r>
      </w:hyperlink>
      <w:r>
        <w:rPr>
          <w:rFonts w:cs="Arial"/>
          <w:sz w:val="20"/>
          <w:szCs w:val="20"/>
        </w:rPr>
        <w:t>.</w:t>
      </w:r>
    </w:p>
    <w:p w14:paraId="72F8C615" w14:textId="77777777" w:rsidR="00B115AA" w:rsidRPr="001C1C18" w:rsidRDefault="00B115AA" w:rsidP="00B115AA">
      <w:pPr>
        <w:spacing w:after="120" w:line="240" w:lineRule="auto"/>
        <w:rPr>
          <w:rFonts w:cs="Arial"/>
          <w:sz w:val="20"/>
          <w:szCs w:val="20"/>
          <w:u w:val="single"/>
        </w:rPr>
      </w:pPr>
      <w:r>
        <w:rPr>
          <w:rFonts w:cs="Arial"/>
          <w:sz w:val="20"/>
          <w:szCs w:val="20"/>
        </w:rPr>
        <w:t xml:space="preserve">Pressetexte sowie druckfähiges Bildmaterial u.v.m. stehen im Velux Presseforum unter </w:t>
      </w:r>
      <w:hyperlink r:id="rId20" w:history="1">
        <w:r>
          <w:rPr>
            <w:rStyle w:val="Hyperlink"/>
            <w:rFonts w:cs="Arial"/>
            <w:sz w:val="20"/>
            <w:szCs w:val="20"/>
          </w:rPr>
          <w:t>www.velux.de/presse</w:t>
        </w:r>
      </w:hyperlink>
      <w:r>
        <w:rPr>
          <w:rFonts w:cs="Arial"/>
          <w:sz w:val="20"/>
          <w:szCs w:val="20"/>
        </w:rPr>
        <w:t xml:space="preserve"> zum Download bereit.</w:t>
      </w:r>
      <w:r>
        <w:rPr>
          <w:rFonts w:cs="Arial"/>
          <w:b/>
          <w:bCs/>
          <w:sz w:val="20"/>
          <w:szCs w:val="20"/>
        </w:rPr>
        <w:br/>
      </w:r>
      <w:r>
        <w:rPr>
          <w:rFonts w:cs="Arial"/>
          <w:bCs/>
          <w:sz w:val="20"/>
          <w:szCs w:val="20"/>
        </w:rPr>
        <w:br/>
      </w:r>
      <w:r w:rsidRPr="00C12C51">
        <w:rPr>
          <w:rFonts w:cs="Arial"/>
          <w:b/>
          <w:bCs/>
          <w:sz w:val="20"/>
          <w:szCs w:val="20"/>
        </w:rPr>
        <w:t>Kontakt Presse:</w:t>
      </w:r>
    </w:p>
    <w:tbl>
      <w:tblPr>
        <w:tblW w:w="9283" w:type="dxa"/>
        <w:tblInd w:w="-108" w:type="dxa"/>
        <w:tblLook w:val="01E0" w:firstRow="1" w:lastRow="1" w:firstColumn="1" w:lastColumn="1" w:noHBand="0" w:noVBand="0"/>
      </w:tblPr>
      <w:tblGrid>
        <w:gridCol w:w="4718"/>
        <w:gridCol w:w="4565"/>
      </w:tblGrid>
      <w:tr w:rsidR="00B115AA" w:rsidRPr="00C12C51" w14:paraId="0FC9ADBC" w14:textId="77777777" w:rsidTr="00AF099D">
        <w:trPr>
          <w:trHeight w:val="2413"/>
        </w:trPr>
        <w:tc>
          <w:tcPr>
            <w:tcW w:w="4718" w:type="dxa"/>
          </w:tcPr>
          <w:p w14:paraId="4CD413FB" w14:textId="77777777" w:rsidR="00B115AA" w:rsidRPr="00C12C51" w:rsidRDefault="00B115AA" w:rsidP="00AF099D">
            <w:pPr>
              <w:spacing w:line="240" w:lineRule="auto"/>
              <w:rPr>
                <w:bCs/>
                <w:sz w:val="20"/>
              </w:rPr>
            </w:pPr>
            <w:r>
              <w:rPr>
                <w:bCs/>
                <w:sz w:val="20"/>
              </w:rPr>
              <w:t>Velux</w:t>
            </w:r>
            <w:r w:rsidRPr="00C12C51">
              <w:rPr>
                <w:bCs/>
                <w:sz w:val="20"/>
              </w:rPr>
              <w:t xml:space="preserve"> Deutschland GmbH</w:t>
            </w:r>
          </w:p>
          <w:p w14:paraId="7F0F63DD" w14:textId="77777777" w:rsidR="00B115AA" w:rsidRPr="00C12C51" w:rsidRDefault="00B115AA" w:rsidP="00AF099D">
            <w:pPr>
              <w:spacing w:line="240" w:lineRule="auto"/>
              <w:rPr>
                <w:bCs/>
                <w:sz w:val="20"/>
              </w:rPr>
            </w:pPr>
            <w:r w:rsidRPr="00C12C51">
              <w:rPr>
                <w:bCs/>
                <w:sz w:val="20"/>
              </w:rPr>
              <w:t xml:space="preserve">Leitung </w:t>
            </w:r>
            <w:r>
              <w:rPr>
                <w:bCs/>
                <w:sz w:val="20"/>
              </w:rPr>
              <w:t xml:space="preserve">Presse- und </w:t>
            </w:r>
            <w:r w:rsidRPr="00C12C51">
              <w:rPr>
                <w:bCs/>
                <w:sz w:val="20"/>
              </w:rPr>
              <w:t>Öffentlichkeitsarbeit</w:t>
            </w:r>
          </w:p>
          <w:p w14:paraId="0C7713C5" w14:textId="77777777" w:rsidR="00B115AA" w:rsidRPr="00C12C51" w:rsidRDefault="00B115AA" w:rsidP="00AF099D">
            <w:pPr>
              <w:spacing w:line="240" w:lineRule="auto"/>
              <w:rPr>
                <w:bCs/>
                <w:sz w:val="20"/>
              </w:rPr>
            </w:pPr>
            <w:r>
              <w:rPr>
                <w:bCs/>
                <w:sz w:val="20"/>
              </w:rPr>
              <w:t>Britta Warmbier</w:t>
            </w:r>
          </w:p>
          <w:p w14:paraId="4F3E110E" w14:textId="77777777" w:rsidR="00B115AA" w:rsidRPr="00C12C51" w:rsidRDefault="00B115AA" w:rsidP="00AF099D">
            <w:pPr>
              <w:spacing w:line="240" w:lineRule="auto"/>
              <w:rPr>
                <w:bCs/>
                <w:sz w:val="20"/>
              </w:rPr>
            </w:pPr>
            <w:r w:rsidRPr="00C12C51">
              <w:rPr>
                <w:bCs/>
                <w:sz w:val="20"/>
              </w:rPr>
              <w:t>Gazellenkamp 168</w:t>
            </w:r>
          </w:p>
          <w:p w14:paraId="1B213189" w14:textId="77777777" w:rsidR="00B115AA" w:rsidRPr="00C12C51" w:rsidRDefault="00B115AA" w:rsidP="00AF099D">
            <w:pPr>
              <w:spacing w:line="240" w:lineRule="auto"/>
              <w:rPr>
                <w:bCs/>
                <w:sz w:val="20"/>
              </w:rPr>
            </w:pPr>
            <w:r w:rsidRPr="00C12C51">
              <w:rPr>
                <w:bCs/>
                <w:sz w:val="20"/>
              </w:rPr>
              <w:t>2252</w:t>
            </w:r>
            <w:r>
              <w:rPr>
                <w:bCs/>
                <w:sz w:val="20"/>
              </w:rPr>
              <w:t>7</w:t>
            </w:r>
            <w:r w:rsidRPr="00C12C51">
              <w:rPr>
                <w:bCs/>
                <w:sz w:val="20"/>
              </w:rPr>
              <w:t xml:space="preserve"> Hamburg </w:t>
            </w:r>
          </w:p>
          <w:p w14:paraId="63761A60" w14:textId="77777777" w:rsidR="00B115AA" w:rsidRPr="00C12C51" w:rsidRDefault="00B115AA" w:rsidP="00AF099D">
            <w:pPr>
              <w:spacing w:line="240" w:lineRule="auto"/>
              <w:rPr>
                <w:bCs/>
                <w:sz w:val="20"/>
              </w:rPr>
            </w:pPr>
            <w:r>
              <w:rPr>
                <w:bCs/>
                <w:sz w:val="20"/>
              </w:rPr>
              <w:t>Tel.: +49 (040) 5 47 07-4</w:t>
            </w:r>
            <w:r w:rsidRPr="00C12C51">
              <w:rPr>
                <w:bCs/>
                <w:sz w:val="20"/>
              </w:rPr>
              <w:t>50</w:t>
            </w:r>
          </w:p>
          <w:p w14:paraId="44DECB43" w14:textId="77777777" w:rsidR="00B115AA" w:rsidRPr="005D3E73" w:rsidRDefault="00B115AA" w:rsidP="00AF099D">
            <w:pPr>
              <w:spacing w:line="240" w:lineRule="auto"/>
              <w:rPr>
                <w:bCs/>
                <w:sz w:val="20"/>
                <w:lang w:val="en-US"/>
              </w:rPr>
            </w:pPr>
            <w:r w:rsidRPr="005D3E73">
              <w:rPr>
                <w:bCs/>
                <w:sz w:val="20"/>
                <w:lang w:val="en-US"/>
              </w:rPr>
              <w:t>Fax: +49 (040) 5 47 07-708</w:t>
            </w:r>
          </w:p>
          <w:p w14:paraId="3228A2E1" w14:textId="77777777" w:rsidR="00B115AA" w:rsidRPr="005D3E73" w:rsidRDefault="00B115AA" w:rsidP="00AF099D">
            <w:pPr>
              <w:spacing w:line="240" w:lineRule="auto"/>
              <w:rPr>
                <w:bCs/>
                <w:sz w:val="20"/>
                <w:lang w:val="en-US"/>
              </w:rPr>
            </w:pPr>
            <w:r w:rsidRPr="005D3E73">
              <w:rPr>
                <w:bCs/>
                <w:sz w:val="20"/>
                <w:lang w:val="en-US"/>
              </w:rPr>
              <w:t xml:space="preserve">Mail: </w:t>
            </w:r>
            <w:r>
              <w:rPr>
                <w:bCs/>
                <w:sz w:val="20"/>
                <w:lang w:val="en-US"/>
              </w:rPr>
              <w:t>Britta.Warmbier</w:t>
            </w:r>
            <w:r w:rsidRPr="005D3E73">
              <w:rPr>
                <w:bCs/>
                <w:sz w:val="20"/>
                <w:lang w:val="en-US"/>
              </w:rPr>
              <w:t>@velux.com</w:t>
            </w:r>
          </w:p>
          <w:p w14:paraId="5BFD6DE6" w14:textId="77777777" w:rsidR="00B115AA" w:rsidRPr="005D3E73" w:rsidRDefault="00B115AA" w:rsidP="00AF099D">
            <w:pPr>
              <w:spacing w:line="240" w:lineRule="auto"/>
              <w:rPr>
                <w:bCs/>
                <w:sz w:val="20"/>
                <w:lang w:val="en-US"/>
              </w:rPr>
            </w:pPr>
          </w:p>
        </w:tc>
        <w:tc>
          <w:tcPr>
            <w:tcW w:w="4565" w:type="dxa"/>
          </w:tcPr>
          <w:p w14:paraId="246DFA6E" w14:textId="77777777" w:rsidR="00B115AA" w:rsidRPr="00C12C51" w:rsidRDefault="00B115AA" w:rsidP="00AF099D">
            <w:pPr>
              <w:spacing w:line="240" w:lineRule="auto"/>
              <w:rPr>
                <w:bCs/>
                <w:sz w:val="20"/>
              </w:rPr>
            </w:pPr>
            <w:r w:rsidRPr="00C12C51">
              <w:rPr>
                <w:bCs/>
                <w:sz w:val="20"/>
              </w:rPr>
              <w:t>FAKTOR 3 AG</w:t>
            </w:r>
          </w:p>
          <w:p w14:paraId="2A2D1AB0" w14:textId="77777777" w:rsidR="00B115AA" w:rsidRPr="00C12C51" w:rsidRDefault="00B115AA" w:rsidP="00AF099D">
            <w:pPr>
              <w:spacing w:line="240" w:lineRule="auto"/>
              <w:rPr>
                <w:bCs/>
                <w:sz w:val="20"/>
              </w:rPr>
            </w:pPr>
            <w:r>
              <w:rPr>
                <w:bCs/>
                <w:sz w:val="20"/>
              </w:rPr>
              <w:t>Velux</w:t>
            </w:r>
            <w:r w:rsidRPr="00C12C51">
              <w:rPr>
                <w:bCs/>
                <w:sz w:val="20"/>
              </w:rPr>
              <w:t xml:space="preserve"> Presseagentur</w:t>
            </w:r>
          </w:p>
          <w:p w14:paraId="1F65ABC7" w14:textId="77777777" w:rsidR="00B115AA" w:rsidRPr="00C12C51" w:rsidRDefault="00B115AA" w:rsidP="00AF099D">
            <w:pPr>
              <w:spacing w:line="240" w:lineRule="auto"/>
              <w:rPr>
                <w:bCs/>
                <w:sz w:val="20"/>
              </w:rPr>
            </w:pPr>
            <w:r>
              <w:rPr>
                <w:bCs/>
                <w:sz w:val="20"/>
              </w:rPr>
              <w:t>Oliver Williges</w:t>
            </w:r>
          </w:p>
          <w:p w14:paraId="1A7BC2F8" w14:textId="77777777" w:rsidR="00B115AA" w:rsidRPr="00C12C51" w:rsidRDefault="00B115AA" w:rsidP="00AF099D">
            <w:pPr>
              <w:spacing w:line="240" w:lineRule="auto"/>
              <w:rPr>
                <w:bCs/>
                <w:sz w:val="20"/>
              </w:rPr>
            </w:pPr>
            <w:r w:rsidRPr="00C12C51">
              <w:rPr>
                <w:bCs/>
                <w:sz w:val="20"/>
              </w:rPr>
              <w:t>Kattunbleiche 35</w:t>
            </w:r>
          </w:p>
          <w:p w14:paraId="18F3571F" w14:textId="77777777" w:rsidR="00B115AA" w:rsidRPr="00C12C51" w:rsidRDefault="00B115AA" w:rsidP="00AF099D">
            <w:pPr>
              <w:spacing w:line="240" w:lineRule="auto"/>
              <w:rPr>
                <w:bCs/>
                <w:sz w:val="20"/>
              </w:rPr>
            </w:pPr>
            <w:r w:rsidRPr="00C12C51">
              <w:rPr>
                <w:bCs/>
                <w:sz w:val="20"/>
              </w:rPr>
              <w:t>22041 Hamburg</w:t>
            </w:r>
          </w:p>
          <w:p w14:paraId="4A620E7D" w14:textId="77777777" w:rsidR="00B115AA" w:rsidRPr="00C12C51" w:rsidRDefault="00B115AA" w:rsidP="00AF099D">
            <w:pPr>
              <w:spacing w:line="240" w:lineRule="auto"/>
              <w:rPr>
                <w:bCs/>
                <w:sz w:val="20"/>
              </w:rPr>
            </w:pPr>
            <w:r w:rsidRPr="00C12C51">
              <w:rPr>
                <w:bCs/>
                <w:sz w:val="20"/>
              </w:rPr>
              <w:t>Tel.: +49 (040) 67 94 46-</w:t>
            </w:r>
            <w:r>
              <w:rPr>
                <w:bCs/>
                <w:sz w:val="20"/>
              </w:rPr>
              <w:t>109</w:t>
            </w:r>
          </w:p>
          <w:p w14:paraId="2ED29D2A" w14:textId="77777777" w:rsidR="00B115AA" w:rsidRPr="00C12C51" w:rsidRDefault="00B115AA" w:rsidP="00AF099D">
            <w:pPr>
              <w:spacing w:line="240" w:lineRule="auto"/>
              <w:rPr>
                <w:bCs/>
                <w:sz w:val="20"/>
              </w:rPr>
            </w:pPr>
            <w:r w:rsidRPr="00C12C51">
              <w:rPr>
                <w:bCs/>
                <w:sz w:val="20"/>
              </w:rPr>
              <w:t>Fax: +49 (040) 67 94 46-11</w:t>
            </w:r>
          </w:p>
          <w:p w14:paraId="60E4203C" w14:textId="77777777" w:rsidR="00B115AA" w:rsidRPr="00C12C51" w:rsidRDefault="00B115AA" w:rsidP="00AF099D">
            <w:pPr>
              <w:spacing w:line="240" w:lineRule="auto"/>
              <w:rPr>
                <w:bCs/>
                <w:sz w:val="20"/>
              </w:rPr>
            </w:pPr>
            <w:r w:rsidRPr="00C12C51">
              <w:rPr>
                <w:bCs/>
                <w:sz w:val="20"/>
              </w:rPr>
              <w:t>Mail: velux@faktor3.de</w:t>
            </w:r>
          </w:p>
          <w:p w14:paraId="2AB57EAE" w14:textId="77777777" w:rsidR="00B115AA" w:rsidRPr="00C12C51" w:rsidRDefault="00B115AA" w:rsidP="00AF099D">
            <w:pPr>
              <w:spacing w:line="240" w:lineRule="auto"/>
              <w:rPr>
                <w:bCs/>
                <w:sz w:val="20"/>
              </w:rPr>
            </w:pPr>
          </w:p>
        </w:tc>
      </w:tr>
    </w:tbl>
    <w:p w14:paraId="2D4402DE" w14:textId="77777777" w:rsidR="00B950A1" w:rsidRPr="00C12C51" w:rsidRDefault="00B950A1" w:rsidP="0038078A">
      <w:pPr>
        <w:spacing w:line="240" w:lineRule="auto"/>
        <w:rPr>
          <w:rFonts w:cs="Arial"/>
          <w:b/>
          <w:bCs/>
          <w:sz w:val="16"/>
          <w:szCs w:val="16"/>
        </w:rPr>
      </w:pPr>
    </w:p>
    <w:sectPr w:rsidR="00B950A1" w:rsidRPr="00C12C51" w:rsidSect="00682CAB">
      <w:footerReference w:type="default" r:id="rId21"/>
      <w:headerReference w:type="first" r:id="rId22"/>
      <w:pgSz w:w="11906" w:h="16838" w:code="9"/>
      <w:pgMar w:top="2268" w:right="226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2B28" w14:textId="77777777" w:rsidR="0005411B" w:rsidRDefault="0005411B">
      <w:r>
        <w:separator/>
      </w:r>
    </w:p>
  </w:endnote>
  <w:endnote w:type="continuationSeparator" w:id="0">
    <w:p w14:paraId="4D868139" w14:textId="77777777" w:rsidR="0005411B" w:rsidRDefault="0005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61C1" w14:textId="54B7966E" w:rsidR="00473404" w:rsidRPr="00F51B1E" w:rsidRDefault="00473404">
    <w:pPr>
      <w:pStyle w:val="Fuzeile"/>
      <w:rPr>
        <w:sz w:val="16"/>
        <w:szCs w:val="16"/>
      </w:rPr>
    </w:pPr>
    <w:r>
      <w:rPr>
        <w:sz w:val="16"/>
        <w:szCs w:val="16"/>
      </w:rPr>
      <w:t>Presseinformation</w:t>
    </w:r>
    <w:r w:rsidR="002E688E">
      <w:rPr>
        <w:sz w:val="16"/>
        <w:szCs w:val="16"/>
      </w:rPr>
      <w:t>:</w:t>
    </w:r>
    <w:r>
      <w:rPr>
        <w:sz w:val="16"/>
        <w:szCs w:val="16"/>
      </w:rPr>
      <w:t xml:space="preserve"> </w:t>
    </w:r>
    <w:r w:rsidR="00DB2830" w:rsidRPr="00DB2830">
      <w:rPr>
        <w:sz w:val="16"/>
        <w:szCs w:val="16"/>
      </w:rPr>
      <w:t>Tageslicht-Norm DIN EN 17037</w:t>
    </w:r>
    <w:r w:rsidR="00DB2830">
      <w:rPr>
        <w:sz w:val="16"/>
        <w:szCs w:val="16"/>
      </w:rPr>
      <w:t xml:space="preserve"> </w:t>
    </w:r>
    <w:r w:rsidRPr="00F51B1E">
      <w:rPr>
        <w:sz w:val="16"/>
        <w:szCs w:val="16"/>
      </w:rPr>
      <w:t xml:space="preserve">/ </w:t>
    </w:r>
    <w:r w:rsidR="00DB2830">
      <w:rPr>
        <w:sz w:val="16"/>
        <w:szCs w:val="16"/>
      </w:rPr>
      <w:t xml:space="preserve">Januar </w:t>
    </w:r>
    <w:r>
      <w:rPr>
        <w:sz w:val="16"/>
        <w:szCs w:val="16"/>
      </w:rPr>
      <w:t>20</w:t>
    </w:r>
    <w:r w:rsidR="00DB2830">
      <w:rPr>
        <w:sz w:val="16"/>
        <w:szCs w:val="16"/>
      </w:rPr>
      <w:t>20</w:t>
    </w:r>
    <w:r>
      <w:rPr>
        <w:sz w:val="16"/>
        <w:szCs w:val="16"/>
      </w:rPr>
      <w:t xml:space="preserve"> </w:t>
    </w:r>
    <w:r w:rsidRPr="00F51B1E">
      <w:rPr>
        <w:sz w:val="16"/>
        <w:szCs w:val="16"/>
      </w:rPr>
      <w:t xml:space="preserve">/ Seite </w:t>
    </w:r>
    <w:r w:rsidRPr="00F51B1E">
      <w:rPr>
        <w:rStyle w:val="Seitenzahl"/>
        <w:sz w:val="16"/>
        <w:szCs w:val="16"/>
      </w:rPr>
      <w:fldChar w:fldCharType="begin"/>
    </w:r>
    <w:r w:rsidRPr="00F51B1E">
      <w:rPr>
        <w:rStyle w:val="Seitenzahl"/>
        <w:sz w:val="16"/>
        <w:szCs w:val="16"/>
      </w:rPr>
      <w:instrText xml:space="preserve"> PAGE </w:instrText>
    </w:r>
    <w:r w:rsidRPr="00F51B1E">
      <w:rPr>
        <w:rStyle w:val="Seitenzahl"/>
        <w:sz w:val="16"/>
        <w:szCs w:val="16"/>
      </w:rPr>
      <w:fldChar w:fldCharType="separate"/>
    </w:r>
    <w:r w:rsidR="00DB43BA">
      <w:rPr>
        <w:rStyle w:val="Seitenzahl"/>
        <w:noProof/>
        <w:sz w:val="16"/>
        <w:szCs w:val="16"/>
      </w:rPr>
      <w:t>6</w:t>
    </w:r>
    <w:r w:rsidRPr="00F51B1E">
      <w:rPr>
        <w:rStyle w:val="Seitenzahl"/>
        <w:sz w:val="16"/>
        <w:szCs w:val="16"/>
      </w:rPr>
      <w:fldChar w:fldCharType="end"/>
    </w:r>
    <w:r w:rsidRPr="00F51B1E">
      <w:rPr>
        <w:rStyle w:val="Seitenzahl"/>
        <w:sz w:val="16"/>
        <w:szCs w:val="16"/>
      </w:rPr>
      <w:t xml:space="preserve"> von </w:t>
    </w:r>
    <w:r w:rsidRPr="00F51B1E">
      <w:rPr>
        <w:rStyle w:val="Seitenzahl"/>
        <w:sz w:val="16"/>
        <w:szCs w:val="16"/>
      </w:rPr>
      <w:fldChar w:fldCharType="begin"/>
    </w:r>
    <w:r w:rsidRPr="00F51B1E">
      <w:rPr>
        <w:rStyle w:val="Seitenzahl"/>
        <w:sz w:val="16"/>
        <w:szCs w:val="16"/>
      </w:rPr>
      <w:instrText xml:space="preserve"> NUMPAGES </w:instrText>
    </w:r>
    <w:r w:rsidRPr="00F51B1E">
      <w:rPr>
        <w:rStyle w:val="Seitenzahl"/>
        <w:sz w:val="16"/>
        <w:szCs w:val="16"/>
      </w:rPr>
      <w:fldChar w:fldCharType="separate"/>
    </w:r>
    <w:r w:rsidR="00DB43BA">
      <w:rPr>
        <w:rStyle w:val="Seitenzahl"/>
        <w:noProof/>
        <w:sz w:val="16"/>
        <w:szCs w:val="16"/>
      </w:rPr>
      <w:t>6</w:t>
    </w:r>
    <w:r w:rsidRPr="00F51B1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88DD" w14:textId="77777777" w:rsidR="0005411B" w:rsidRDefault="0005411B">
      <w:r>
        <w:separator/>
      </w:r>
    </w:p>
  </w:footnote>
  <w:footnote w:type="continuationSeparator" w:id="0">
    <w:p w14:paraId="0E529656" w14:textId="77777777" w:rsidR="0005411B" w:rsidRDefault="0005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8F53" w14:textId="77777777" w:rsidR="00473404" w:rsidRDefault="00473404">
    <w:pPr>
      <w:pStyle w:val="Kopfzeile"/>
    </w:pPr>
    <w:r>
      <w:rPr>
        <w:noProof/>
        <w:sz w:val="20"/>
      </w:rPr>
      <w:drawing>
        <wp:anchor distT="0" distB="0" distL="114300" distR="114300" simplePos="0" relativeHeight="251657728" behindDoc="0" locked="0" layoutInCell="1" allowOverlap="1" wp14:anchorId="15E938BD" wp14:editId="2F325585">
          <wp:simplePos x="0" y="0"/>
          <wp:positionH relativeFrom="column">
            <wp:posOffset>4389120</wp:posOffset>
          </wp:positionH>
          <wp:positionV relativeFrom="paragraph">
            <wp:posOffset>-69850</wp:posOffset>
          </wp:positionV>
          <wp:extent cx="1440180" cy="480060"/>
          <wp:effectExtent l="0" t="0" r="7620" b="0"/>
          <wp:wrapNone/>
          <wp:docPr id="2"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47B"/>
    <w:multiLevelType w:val="multilevel"/>
    <w:tmpl w:val="E31C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592E08"/>
    <w:multiLevelType w:val="hybridMultilevel"/>
    <w:tmpl w:val="88500FB8"/>
    <w:lvl w:ilvl="0" w:tplc="04070001">
      <w:start w:val="1"/>
      <w:numFmt w:val="bullet"/>
      <w:lvlText w:val=""/>
      <w:lvlJc w:val="left"/>
      <w:pPr>
        <w:ind w:left="2384" w:hanging="360"/>
      </w:pPr>
      <w:rPr>
        <w:rFonts w:ascii="Symbol" w:hAnsi="Symbol" w:hint="default"/>
      </w:rPr>
    </w:lvl>
    <w:lvl w:ilvl="1" w:tplc="04070003" w:tentative="1">
      <w:start w:val="1"/>
      <w:numFmt w:val="bullet"/>
      <w:lvlText w:val="o"/>
      <w:lvlJc w:val="left"/>
      <w:pPr>
        <w:ind w:left="3104" w:hanging="360"/>
      </w:pPr>
      <w:rPr>
        <w:rFonts w:ascii="Courier New" w:hAnsi="Courier New" w:cs="Courier New" w:hint="default"/>
      </w:rPr>
    </w:lvl>
    <w:lvl w:ilvl="2" w:tplc="04070005" w:tentative="1">
      <w:start w:val="1"/>
      <w:numFmt w:val="bullet"/>
      <w:lvlText w:val=""/>
      <w:lvlJc w:val="left"/>
      <w:pPr>
        <w:ind w:left="3824" w:hanging="360"/>
      </w:pPr>
      <w:rPr>
        <w:rFonts w:ascii="Wingdings" w:hAnsi="Wingdings" w:hint="default"/>
      </w:rPr>
    </w:lvl>
    <w:lvl w:ilvl="3" w:tplc="04070001" w:tentative="1">
      <w:start w:val="1"/>
      <w:numFmt w:val="bullet"/>
      <w:lvlText w:val=""/>
      <w:lvlJc w:val="left"/>
      <w:pPr>
        <w:ind w:left="4544" w:hanging="360"/>
      </w:pPr>
      <w:rPr>
        <w:rFonts w:ascii="Symbol" w:hAnsi="Symbol" w:hint="default"/>
      </w:rPr>
    </w:lvl>
    <w:lvl w:ilvl="4" w:tplc="04070003" w:tentative="1">
      <w:start w:val="1"/>
      <w:numFmt w:val="bullet"/>
      <w:lvlText w:val="o"/>
      <w:lvlJc w:val="left"/>
      <w:pPr>
        <w:ind w:left="5264" w:hanging="360"/>
      </w:pPr>
      <w:rPr>
        <w:rFonts w:ascii="Courier New" w:hAnsi="Courier New" w:cs="Courier New" w:hint="default"/>
      </w:rPr>
    </w:lvl>
    <w:lvl w:ilvl="5" w:tplc="04070005" w:tentative="1">
      <w:start w:val="1"/>
      <w:numFmt w:val="bullet"/>
      <w:lvlText w:val=""/>
      <w:lvlJc w:val="left"/>
      <w:pPr>
        <w:ind w:left="5984" w:hanging="360"/>
      </w:pPr>
      <w:rPr>
        <w:rFonts w:ascii="Wingdings" w:hAnsi="Wingdings" w:hint="default"/>
      </w:rPr>
    </w:lvl>
    <w:lvl w:ilvl="6" w:tplc="04070001" w:tentative="1">
      <w:start w:val="1"/>
      <w:numFmt w:val="bullet"/>
      <w:lvlText w:val=""/>
      <w:lvlJc w:val="left"/>
      <w:pPr>
        <w:ind w:left="6704" w:hanging="360"/>
      </w:pPr>
      <w:rPr>
        <w:rFonts w:ascii="Symbol" w:hAnsi="Symbol" w:hint="default"/>
      </w:rPr>
    </w:lvl>
    <w:lvl w:ilvl="7" w:tplc="04070003" w:tentative="1">
      <w:start w:val="1"/>
      <w:numFmt w:val="bullet"/>
      <w:lvlText w:val="o"/>
      <w:lvlJc w:val="left"/>
      <w:pPr>
        <w:ind w:left="7424" w:hanging="360"/>
      </w:pPr>
      <w:rPr>
        <w:rFonts w:ascii="Courier New" w:hAnsi="Courier New" w:cs="Courier New" w:hint="default"/>
      </w:rPr>
    </w:lvl>
    <w:lvl w:ilvl="8" w:tplc="04070005" w:tentative="1">
      <w:start w:val="1"/>
      <w:numFmt w:val="bullet"/>
      <w:lvlText w:val=""/>
      <w:lvlJc w:val="left"/>
      <w:pPr>
        <w:ind w:left="8144" w:hanging="360"/>
      </w:pPr>
      <w:rPr>
        <w:rFonts w:ascii="Wingdings" w:hAnsi="Wingdings" w:hint="default"/>
      </w:rPr>
    </w:lvl>
  </w:abstractNum>
  <w:abstractNum w:abstractNumId="5" w15:restartNumberingAfterBreak="0">
    <w:nsid w:val="3B8468F8"/>
    <w:multiLevelType w:val="hybridMultilevel"/>
    <w:tmpl w:val="5E2054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4245193E"/>
    <w:multiLevelType w:val="hybridMultilevel"/>
    <w:tmpl w:val="0B10E9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447165C6"/>
    <w:multiLevelType w:val="hybridMultilevel"/>
    <w:tmpl w:val="4C6C40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694808"/>
    <w:multiLevelType w:val="multilevel"/>
    <w:tmpl w:val="577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E3B3A"/>
    <w:multiLevelType w:val="hybridMultilevel"/>
    <w:tmpl w:val="D1E4C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94E3D16"/>
    <w:multiLevelType w:val="hybridMultilevel"/>
    <w:tmpl w:val="8C901294"/>
    <w:lvl w:ilvl="0" w:tplc="39689E4A">
      <w:start w:val="1"/>
      <w:numFmt w:val="lowerLetter"/>
      <w:lvlText w:val="%1."/>
      <w:lvlJc w:val="left"/>
      <w:pPr>
        <w:tabs>
          <w:tab w:val="num" w:pos="720"/>
        </w:tabs>
        <w:ind w:left="720" w:hanging="360"/>
      </w:pPr>
    </w:lvl>
    <w:lvl w:ilvl="1" w:tplc="16EA5F76">
      <w:start w:val="1"/>
      <w:numFmt w:val="lowerLetter"/>
      <w:lvlText w:val="%2."/>
      <w:lvlJc w:val="left"/>
      <w:pPr>
        <w:tabs>
          <w:tab w:val="num" w:pos="1440"/>
        </w:tabs>
        <w:ind w:left="1440" w:hanging="360"/>
      </w:pPr>
    </w:lvl>
    <w:lvl w:ilvl="2" w:tplc="933AACB8" w:tentative="1">
      <w:start w:val="1"/>
      <w:numFmt w:val="lowerLetter"/>
      <w:lvlText w:val="%3."/>
      <w:lvlJc w:val="left"/>
      <w:pPr>
        <w:tabs>
          <w:tab w:val="num" w:pos="2160"/>
        </w:tabs>
        <w:ind w:left="2160" w:hanging="360"/>
      </w:pPr>
    </w:lvl>
    <w:lvl w:ilvl="3" w:tplc="9D2877CA" w:tentative="1">
      <w:start w:val="1"/>
      <w:numFmt w:val="lowerLetter"/>
      <w:lvlText w:val="%4."/>
      <w:lvlJc w:val="left"/>
      <w:pPr>
        <w:tabs>
          <w:tab w:val="num" w:pos="2880"/>
        </w:tabs>
        <w:ind w:left="2880" w:hanging="360"/>
      </w:pPr>
    </w:lvl>
    <w:lvl w:ilvl="4" w:tplc="1D64FDB0" w:tentative="1">
      <w:start w:val="1"/>
      <w:numFmt w:val="lowerLetter"/>
      <w:lvlText w:val="%5."/>
      <w:lvlJc w:val="left"/>
      <w:pPr>
        <w:tabs>
          <w:tab w:val="num" w:pos="3600"/>
        </w:tabs>
        <w:ind w:left="3600" w:hanging="360"/>
      </w:pPr>
    </w:lvl>
    <w:lvl w:ilvl="5" w:tplc="E3AE4AFA" w:tentative="1">
      <w:start w:val="1"/>
      <w:numFmt w:val="lowerLetter"/>
      <w:lvlText w:val="%6."/>
      <w:lvlJc w:val="left"/>
      <w:pPr>
        <w:tabs>
          <w:tab w:val="num" w:pos="4320"/>
        </w:tabs>
        <w:ind w:left="4320" w:hanging="360"/>
      </w:pPr>
    </w:lvl>
    <w:lvl w:ilvl="6" w:tplc="D97E5F8A" w:tentative="1">
      <w:start w:val="1"/>
      <w:numFmt w:val="lowerLetter"/>
      <w:lvlText w:val="%7."/>
      <w:lvlJc w:val="left"/>
      <w:pPr>
        <w:tabs>
          <w:tab w:val="num" w:pos="5040"/>
        </w:tabs>
        <w:ind w:left="5040" w:hanging="360"/>
      </w:pPr>
    </w:lvl>
    <w:lvl w:ilvl="7" w:tplc="C0122006" w:tentative="1">
      <w:start w:val="1"/>
      <w:numFmt w:val="lowerLetter"/>
      <w:lvlText w:val="%8."/>
      <w:lvlJc w:val="left"/>
      <w:pPr>
        <w:tabs>
          <w:tab w:val="num" w:pos="5760"/>
        </w:tabs>
        <w:ind w:left="5760" w:hanging="360"/>
      </w:pPr>
    </w:lvl>
    <w:lvl w:ilvl="8" w:tplc="C69863DE" w:tentative="1">
      <w:start w:val="1"/>
      <w:numFmt w:val="lowerLetter"/>
      <w:lvlText w:val="%9."/>
      <w:lvlJc w:val="left"/>
      <w:pPr>
        <w:tabs>
          <w:tab w:val="num" w:pos="6480"/>
        </w:tabs>
        <w:ind w:left="6480" w:hanging="360"/>
      </w:pPr>
    </w:lvl>
  </w:abstractNum>
  <w:abstractNum w:abstractNumId="11" w15:restartNumberingAfterBreak="0">
    <w:nsid w:val="61385A8A"/>
    <w:multiLevelType w:val="multilevel"/>
    <w:tmpl w:val="767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5A6A84"/>
    <w:multiLevelType w:val="hybridMultilevel"/>
    <w:tmpl w:val="36E44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E374CC"/>
    <w:multiLevelType w:val="multilevel"/>
    <w:tmpl w:val="FEEA19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F6C57"/>
    <w:multiLevelType w:val="hybridMultilevel"/>
    <w:tmpl w:val="1D9AD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F10333"/>
    <w:multiLevelType w:val="hybridMultilevel"/>
    <w:tmpl w:val="DDF0BC4E"/>
    <w:lvl w:ilvl="0" w:tplc="793EDE58">
      <w:start w:val="1"/>
      <w:numFmt w:val="bullet"/>
      <w:lvlText w:val="​"/>
      <w:lvlJc w:val="left"/>
      <w:pPr>
        <w:tabs>
          <w:tab w:val="num" w:pos="360"/>
        </w:tabs>
        <w:ind w:left="360" w:hanging="360"/>
      </w:pPr>
      <w:rPr>
        <w:rFonts w:ascii="Arial" w:hAnsi="Arial" w:hint="default"/>
      </w:rPr>
    </w:lvl>
    <w:lvl w:ilvl="1" w:tplc="970AE6AE">
      <w:numFmt w:val="bullet"/>
      <w:lvlText w:val=""/>
      <w:lvlJc w:val="left"/>
      <w:pPr>
        <w:tabs>
          <w:tab w:val="num" w:pos="1080"/>
        </w:tabs>
        <w:ind w:left="1080" w:hanging="360"/>
      </w:pPr>
      <w:rPr>
        <w:rFonts w:ascii="Symbol" w:hAnsi="Symbol" w:hint="default"/>
      </w:rPr>
    </w:lvl>
    <w:lvl w:ilvl="2" w:tplc="57D026AE" w:tentative="1">
      <w:start w:val="1"/>
      <w:numFmt w:val="bullet"/>
      <w:lvlText w:val="​"/>
      <w:lvlJc w:val="left"/>
      <w:pPr>
        <w:tabs>
          <w:tab w:val="num" w:pos="1800"/>
        </w:tabs>
        <w:ind w:left="1800" w:hanging="360"/>
      </w:pPr>
      <w:rPr>
        <w:rFonts w:ascii="Arial" w:hAnsi="Arial" w:hint="default"/>
      </w:rPr>
    </w:lvl>
    <w:lvl w:ilvl="3" w:tplc="470C24A0" w:tentative="1">
      <w:start w:val="1"/>
      <w:numFmt w:val="bullet"/>
      <w:lvlText w:val="​"/>
      <w:lvlJc w:val="left"/>
      <w:pPr>
        <w:tabs>
          <w:tab w:val="num" w:pos="2520"/>
        </w:tabs>
        <w:ind w:left="2520" w:hanging="360"/>
      </w:pPr>
      <w:rPr>
        <w:rFonts w:ascii="Arial" w:hAnsi="Arial" w:hint="default"/>
      </w:rPr>
    </w:lvl>
    <w:lvl w:ilvl="4" w:tplc="666A598C" w:tentative="1">
      <w:start w:val="1"/>
      <w:numFmt w:val="bullet"/>
      <w:lvlText w:val="​"/>
      <w:lvlJc w:val="left"/>
      <w:pPr>
        <w:tabs>
          <w:tab w:val="num" w:pos="3240"/>
        </w:tabs>
        <w:ind w:left="3240" w:hanging="360"/>
      </w:pPr>
      <w:rPr>
        <w:rFonts w:ascii="Arial" w:hAnsi="Arial" w:hint="default"/>
      </w:rPr>
    </w:lvl>
    <w:lvl w:ilvl="5" w:tplc="C9F66C5E" w:tentative="1">
      <w:start w:val="1"/>
      <w:numFmt w:val="bullet"/>
      <w:lvlText w:val="​"/>
      <w:lvlJc w:val="left"/>
      <w:pPr>
        <w:tabs>
          <w:tab w:val="num" w:pos="3960"/>
        </w:tabs>
        <w:ind w:left="3960" w:hanging="360"/>
      </w:pPr>
      <w:rPr>
        <w:rFonts w:ascii="Arial" w:hAnsi="Arial" w:hint="default"/>
      </w:rPr>
    </w:lvl>
    <w:lvl w:ilvl="6" w:tplc="C4A44D82" w:tentative="1">
      <w:start w:val="1"/>
      <w:numFmt w:val="bullet"/>
      <w:lvlText w:val="​"/>
      <w:lvlJc w:val="left"/>
      <w:pPr>
        <w:tabs>
          <w:tab w:val="num" w:pos="4680"/>
        </w:tabs>
        <w:ind w:left="4680" w:hanging="360"/>
      </w:pPr>
      <w:rPr>
        <w:rFonts w:ascii="Arial" w:hAnsi="Arial" w:hint="default"/>
      </w:rPr>
    </w:lvl>
    <w:lvl w:ilvl="7" w:tplc="E3BAE12A" w:tentative="1">
      <w:start w:val="1"/>
      <w:numFmt w:val="bullet"/>
      <w:lvlText w:val="​"/>
      <w:lvlJc w:val="left"/>
      <w:pPr>
        <w:tabs>
          <w:tab w:val="num" w:pos="5400"/>
        </w:tabs>
        <w:ind w:left="5400" w:hanging="360"/>
      </w:pPr>
      <w:rPr>
        <w:rFonts w:ascii="Arial" w:hAnsi="Arial" w:hint="default"/>
      </w:rPr>
    </w:lvl>
    <w:lvl w:ilvl="8" w:tplc="AD8EB47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4A0751"/>
    <w:multiLevelType w:val="multilevel"/>
    <w:tmpl w:val="DF4863C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6"/>
  </w:num>
  <w:num w:numId="3">
    <w:abstractNumId w:val="2"/>
  </w:num>
  <w:num w:numId="4">
    <w:abstractNumId w:val="3"/>
  </w:num>
  <w:num w:numId="5">
    <w:abstractNumId w:val="14"/>
  </w:num>
  <w:num w:numId="6">
    <w:abstractNumId w:val="17"/>
  </w:num>
  <w:num w:numId="7">
    <w:abstractNumId w:val="8"/>
  </w:num>
  <w:num w:numId="8">
    <w:abstractNumId w:val="11"/>
  </w:num>
  <w:num w:numId="9">
    <w:abstractNumId w:val="9"/>
  </w:num>
  <w:num w:numId="10">
    <w:abstractNumId w:val="15"/>
  </w:num>
  <w:num w:numId="11">
    <w:abstractNumId w:val="7"/>
  </w:num>
  <w:num w:numId="12">
    <w:abstractNumId w:val="10"/>
  </w:num>
  <w:num w:numId="13">
    <w:abstractNumId w:val="0"/>
  </w:num>
  <w:num w:numId="14">
    <w:abstractNumId w:val="5"/>
  </w:num>
  <w:num w:numId="15">
    <w:abstractNumId w:val="6"/>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C4"/>
    <w:rsid w:val="00000136"/>
    <w:rsid w:val="0000049B"/>
    <w:rsid w:val="000009D4"/>
    <w:rsid w:val="00000FF0"/>
    <w:rsid w:val="00002DA4"/>
    <w:rsid w:val="00005D9C"/>
    <w:rsid w:val="00006842"/>
    <w:rsid w:val="00007B45"/>
    <w:rsid w:val="000102A2"/>
    <w:rsid w:val="00010C98"/>
    <w:rsid w:val="000166E6"/>
    <w:rsid w:val="00016963"/>
    <w:rsid w:val="000228EC"/>
    <w:rsid w:val="0002440D"/>
    <w:rsid w:val="000246FE"/>
    <w:rsid w:val="0002530B"/>
    <w:rsid w:val="00030B15"/>
    <w:rsid w:val="00031FE5"/>
    <w:rsid w:val="0003466E"/>
    <w:rsid w:val="00034BEF"/>
    <w:rsid w:val="00040FC2"/>
    <w:rsid w:val="00043247"/>
    <w:rsid w:val="00043686"/>
    <w:rsid w:val="000505E2"/>
    <w:rsid w:val="0005411B"/>
    <w:rsid w:val="000612E3"/>
    <w:rsid w:val="00067EEF"/>
    <w:rsid w:val="00071C3A"/>
    <w:rsid w:val="00071FCC"/>
    <w:rsid w:val="00074AD2"/>
    <w:rsid w:val="00080B89"/>
    <w:rsid w:val="0008344F"/>
    <w:rsid w:val="00085DF3"/>
    <w:rsid w:val="00092E64"/>
    <w:rsid w:val="0009536C"/>
    <w:rsid w:val="000B6480"/>
    <w:rsid w:val="000C24A3"/>
    <w:rsid w:val="000C5EEE"/>
    <w:rsid w:val="000D2B6C"/>
    <w:rsid w:val="000D7689"/>
    <w:rsid w:val="000E0C43"/>
    <w:rsid w:val="000E1E5E"/>
    <w:rsid w:val="000F162E"/>
    <w:rsid w:val="000F2A1C"/>
    <w:rsid w:val="000F63CE"/>
    <w:rsid w:val="00100499"/>
    <w:rsid w:val="00101CEB"/>
    <w:rsid w:val="001030FD"/>
    <w:rsid w:val="00124AB1"/>
    <w:rsid w:val="00127235"/>
    <w:rsid w:val="00131004"/>
    <w:rsid w:val="00132689"/>
    <w:rsid w:val="00133AA9"/>
    <w:rsid w:val="0014215E"/>
    <w:rsid w:val="00143488"/>
    <w:rsid w:val="00147DB4"/>
    <w:rsid w:val="00153A91"/>
    <w:rsid w:val="00156AF3"/>
    <w:rsid w:val="00157B16"/>
    <w:rsid w:val="0016145D"/>
    <w:rsid w:val="00165803"/>
    <w:rsid w:val="00165EBA"/>
    <w:rsid w:val="001665B7"/>
    <w:rsid w:val="00182DC1"/>
    <w:rsid w:val="00182F0F"/>
    <w:rsid w:val="00184373"/>
    <w:rsid w:val="00184424"/>
    <w:rsid w:val="001847CA"/>
    <w:rsid w:val="00184F1E"/>
    <w:rsid w:val="00185504"/>
    <w:rsid w:val="001945C1"/>
    <w:rsid w:val="001A05FF"/>
    <w:rsid w:val="001A1197"/>
    <w:rsid w:val="001A2CF2"/>
    <w:rsid w:val="001A3733"/>
    <w:rsid w:val="001A4639"/>
    <w:rsid w:val="001B2006"/>
    <w:rsid w:val="001B664F"/>
    <w:rsid w:val="001B6B3E"/>
    <w:rsid w:val="001B79EA"/>
    <w:rsid w:val="001C19AD"/>
    <w:rsid w:val="001C1C18"/>
    <w:rsid w:val="001D3357"/>
    <w:rsid w:val="001D7C8E"/>
    <w:rsid w:val="001F090E"/>
    <w:rsid w:val="001F162A"/>
    <w:rsid w:val="001F210F"/>
    <w:rsid w:val="001F45FD"/>
    <w:rsid w:val="00200375"/>
    <w:rsid w:val="00212A22"/>
    <w:rsid w:val="00216E03"/>
    <w:rsid w:val="00221215"/>
    <w:rsid w:val="00222C1D"/>
    <w:rsid w:val="00227A80"/>
    <w:rsid w:val="00230A54"/>
    <w:rsid w:val="002314DF"/>
    <w:rsid w:val="0023697A"/>
    <w:rsid w:val="002372B6"/>
    <w:rsid w:val="00237C88"/>
    <w:rsid w:val="00244D47"/>
    <w:rsid w:val="00247D54"/>
    <w:rsid w:val="00263A8E"/>
    <w:rsid w:val="002669B6"/>
    <w:rsid w:val="00267D7D"/>
    <w:rsid w:val="00277129"/>
    <w:rsid w:val="0028239A"/>
    <w:rsid w:val="002876E4"/>
    <w:rsid w:val="00290A0F"/>
    <w:rsid w:val="00296406"/>
    <w:rsid w:val="002A07E8"/>
    <w:rsid w:val="002A64A7"/>
    <w:rsid w:val="002A6810"/>
    <w:rsid w:val="002B3B72"/>
    <w:rsid w:val="002B5779"/>
    <w:rsid w:val="002B690E"/>
    <w:rsid w:val="002C2EDB"/>
    <w:rsid w:val="002C60ED"/>
    <w:rsid w:val="002D14EC"/>
    <w:rsid w:val="002D54EA"/>
    <w:rsid w:val="002D75C4"/>
    <w:rsid w:val="002E2679"/>
    <w:rsid w:val="002E2C54"/>
    <w:rsid w:val="002E688E"/>
    <w:rsid w:val="002E7EDB"/>
    <w:rsid w:val="0030416A"/>
    <w:rsid w:val="00307808"/>
    <w:rsid w:val="00307920"/>
    <w:rsid w:val="003128F4"/>
    <w:rsid w:val="00315C5C"/>
    <w:rsid w:val="003165ED"/>
    <w:rsid w:val="0031678A"/>
    <w:rsid w:val="0033021B"/>
    <w:rsid w:val="00334192"/>
    <w:rsid w:val="003424B7"/>
    <w:rsid w:val="00360775"/>
    <w:rsid w:val="003619F2"/>
    <w:rsid w:val="003650B3"/>
    <w:rsid w:val="00367B74"/>
    <w:rsid w:val="003726A9"/>
    <w:rsid w:val="003747AD"/>
    <w:rsid w:val="0038078A"/>
    <w:rsid w:val="00381887"/>
    <w:rsid w:val="003924A9"/>
    <w:rsid w:val="0039481D"/>
    <w:rsid w:val="00394B18"/>
    <w:rsid w:val="00397186"/>
    <w:rsid w:val="003B0FDB"/>
    <w:rsid w:val="003B5267"/>
    <w:rsid w:val="003B6749"/>
    <w:rsid w:val="003C202B"/>
    <w:rsid w:val="003C5895"/>
    <w:rsid w:val="003C68BD"/>
    <w:rsid w:val="003D073C"/>
    <w:rsid w:val="003D273F"/>
    <w:rsid w:val="003D73AE"/>
    <w:rsid w:val="003D7BDF"/>
    <w:rsid w:val="003E086B"/>
    <w:rsid w:val="003E5812"/>
    <w:rsid w:val="003E693A"/>
    <w:rsid w:val="003E6D46"/>
    <w:rsid w:val="003E7913"/>
    <w:rsid w:val="003F2F58"/>
    <w:rsid w:val="003F46C8"/>
    <w:rsid w:val="003F5A1F"/>
    <w:rsid w:val="00400FD5"/>
    <w:rsid w:val="00406936"/>
    <w:rsid w:val="0041272B"/>
    <w:rsid w:val="0041430E"/>
    <w:rsid w:val="00414F61"/>
    <w:rsid w:val="00415D53"/>
    <w:rsid w:val="00426FA9"/>
    <w:rsid w:val="004313D7"/>
    <w:rsid w:val="004336F1"/>
    <w:rsid w:val="00434F3C"/>
    <w:rsid w:val="00436970"/>
    <w:rsid w:val="00444305"/>
    <w:rsid w:val="00447A7C"/>
    <w:rsid w:val="004504F1"/>
    <w:rsid w:val="00451B23"/>
    <w:rsid w:val="00451C73"/>
    <w:rsid w:val="00453571"/>
    <w:rsid w:val="00461BCD"/>
    <w:rsid w:val="004638DD"/>
    <w:rsid w:val="00465A6B"/>
    <w:rsid w:val="004704CA"/>
    <w:rsid w:val="004723D5"/>
    <w:rsid w:val="00473404"/>
    <w:rsid w:val="00482E04"/>
    <w:rsid w:val="004862FA"/>
    <w:rsid w:val="00486317"/>
    <w:rsid w:val="004866B5"/>
    <w:rsid w:val="004873FC"/>
    <w:rsid w:val="00490E7A"/>
    <w:rsid w:val="004930F5"/>
    <w:rsid w:val="0049366D"/>
    <w:rsid w:val="004950D5"/>
    <w:rsid w:val="004A1328"/>
    <w:rsid w:val="004A2490"/>
    <w:rsid w:val="004A6DDB"/>
    <w:rsid w:val="004B10CE"/>
    <w:rsid w:val="004B3A32"/>
    <w:rsid w:val="004C4D9B"/>
    <w:rsid w:val="004C4ECD"/>
    <w:rsid w:val="004C602D"/>
    <w:rsid w:val="004E4491"/>
    <w:rsid w:val="004E46B0"/>
    <w:rsid w:val="004E5AD9"/>
    <w:rsid w:val="004F40D2"/>
    <w:rsid w:val="004F60EF"/>
    <w:rsid w:val="004F7BF3"/>
    <w:rsid w:val="00503466"/>
    <w:rsid w:val="00506E96"/>
    <w:rsid w:val="00510484"/>
    <w:rsid w:val="005141CA"/>
    <w:rsid w:val="00520935"/>
    <w:rsid w:val="00527754"/>
    <w:rsid w:val="00536EEA"/>
    <w:rsid w:val="00541CF2"/>
    <w:rsid w:val="0055176E"/>
    <w:rsid w:val="0055254E"/>
    <w:rsid w:val="0055367D"/>
    <w:rsid w:val="00562848"/>
    <w:rsid w:val="0056293E"/>
    <w:rsid w:val="00563BB9"/>
    <w:rsid w:val="00575684"/>
    <w:rsid w:val="0058173E"/>
    <w:rsid w:val="0058324D"/>
    <w:rsid w:val="0058434A"/>
    <w:rsid w:val="0058577D"/>
    <w:rsid w:val="00587E20"/>
    <w:rsid w:val="00590FE6"/>
    <w:rsid w:val="0059167A"/>
    <w:rsid w:val="00597A96"/>
    <w:rsid w:val="005A0552"/>
    <w:rsid w:val="005A05BC"/>
    <w:rsid w:val="005A2D35"/>
    <w:rsid w:val="005B1271"/>
    <w:rsid w:val="005C4F7F"/>
    <w:rsid w:val="005D07A6"/>
    <w:rsid w:val="005D0D1C"/>
    <w:rsid w:val="005D408A"/>
    <w:rsid w:val="005E2E49"/>
    <w:rsid w:val="005E44A2"/>
    <w:rsid w:val="006000D1"/>
    <w:rsid w:val="006006B8"/>
    <w:rsid w:val="00602A1C"/>
    <w:rsid w:val="00602FB1"/>
    <w:rsid w:val="006048C6"/>
    <w:rsid w:val="006129AE"/>
    <w:rsid w:val="00622AFA"/>
    <w:rsid w:val="00624CC2"/>
    <w:rsid w:val="00630F28"/>
    <w:rsid w:val="00633A76"/>
    <w:rsid w:val="006360B3"/>
    <w:rsid w:val="00640B15"/>
    <w:rsid w:val="00645EC5"/>
    <w:rsid w:val="006505F8"/>
    <w:rsid w:val="00650BE9"/>
    <w:rsid w:val="00654F07"/>
    <w:rsid w:val="00667F04"/>
    <w:rsid w:val="006710CA"/>
    <w:rsid w:val="0067218E"/>
    <w:rsid w:val="006807A0"/>
    <w:rsid w:val="00681A2D"/>
    <w:rsid w:val="00681BD3"/>
    <w:rsid w:val="00682CAB"/>
    <w:rsid w:val="006840F7"/>
    <w:rsid w:val="00690089"/>
    <w:rsid w:val="00691178"/>
    <w:rsid w:val="00692E2A"/>
    <w:rsid w:val="00697488"/>
    <w:rsid w:val="006A1BB0"/>
    <w:rsid w:val="006A226E"/>
    <w:rsid w:val="006A5BDE"/>
    <w:rsid w:val="006A76A1"/>
    <w:rsid w:val="006C2897"/>
    <w:rsid w:val="006C4B3D"/>
    <w:rsid w:val="006C55A0"/>
    <w:rsid w:val="006C70A7"/>
    <w:rsid w:val="006D19C8"/>
    <w:rsid w:val="006F525D"/>
    <w:rsid w:val="006F5A83"/>
    <w:rsid w:val="006F5B26"/>
    <w:rsid w:val="006F5B9E"/>
    <w:rsid w:val="00704751"/>
    <w:rsid w:val="0070488F"/>
    <w:rsid w:val="007048B3"/>
    <w:rsid w:val="00705199"/>
    <w:rsid w:val="00705BE8"/>
    <w:rsid w:val="007075B5"/>
    <w:rsid w:val="0070760E"/>
    <w:rsid w:val="00715B40"/>
    <w:rsid w:val="00717192"/>
    <w:rsid w:val="00721CB0"/>
    <w:rsid w:val="0072688C"/>
    <w:rsid w:val="0073352D"/>
    <w:rsid w:val="00734412"/>
    <w:rsid w:val="00742B6D"/>
    <w:rsid w:val="007468D1"/>
    <w:rsid w:val="00753C8F"/>
    <w:rsid w:val="0075506A"/>
    <w:rsid w:val="007552CD"/>
    <w:rsid w:val="00756BD5"/>
    <w:rsid w:val="007669D7"/>
    <w:rsid w:val="007728DC"/>
    <w:rsid w:val="00781CBD"/>
    <w:rsid w:val="007831B8"/>
    <w:rsid w:val="00785CD1"/>
    <w:rsid w:val="00786490"/>
    <w:rsid w:val="00787B00"/>
    <w:rsid w:val="0079218A"/>
    <w:rsid w:val="00793A6E"/>
    <w:rsid w:val="007A424E"/>
    <w:rsid w:val="007A43E8"/>
    <w:rsid w:val="007A6901"/>
    <w:rsid w:val="007B0006"/>
    <w:rsid w:val="007B07B4"/>
    <w:rsid w:val="007B621E"/>
    <w:rsid w:val="007B7954"/>
    <w:rsid w:val="007C31DE"/>
    <w:rsid w:val="007C5B57"/>
    <w:rsid w:val="007E16DF"/>
    <w:rsid w:val="007E3C51"/>
    <w:rsid w:val="007E4FDB"/>
    <w:rsid w:val="007F333B"/>
    <w:rsid w:val="008046E7"/>
    <w:rsid w:val="00805651"/>
    <w:rsid w:val="008068F3"/>
    <w:rsid w:val="008134FC"/>
    <w:rsid w:val="00813975"/>
    <w:rsid w:val="00816AF5"/>
    <w:rsid w:val="00821BB8"/>
    <w:rsid w:val="00822CDA"/>
    <w:rsid w:val="0082426E"/>
    <w:rsid w:val="00830137"/>
    <w:rsid w:val="00852BF0"/>
    <w:rsid w:val="00857EB1"/>
    <w:rsid w:val="008625E0"/>
    <w:rsid w:val="008660CF"/>
    <w:rsid w:val="0087266D"/>
    <w:rsid w:val="008734A5"/>
    <w:rsid w:val="00876CD4"/>
    <w:rsid w:val="008778C2"/>
    <w:rsid w:val="008924C2"/>
    <w:rsid w:val="00896EEC"/>
    <w:rsid w:val="008A2761"/>
    <w:rsid w:val="008A65E1"/>
    <w:rsid w:val="008A6AE7"/>
    <w:rsid w:val="008B2020"/>
    <w:rsid w:val="008C0988"/>
    <w:rsid w:val="008C190A"/>
    <w:rsid w:val="008C4775"/>
    <w:rsid w:val="008C6BBC"/>
    <w:rsid w:val="008D00B6"/>
    <w:rsid w:val="008D11B2"/>
    <w:rsid w:val="008E36C5"/>
    <w:rsid w:val="008E5C50"/>
    <w:rsid w:val="008E7A3C"/>
    <w:rsid w:val="008F1E92"/>
    <w:rsid w:val="008F2521"/>
    <w:rsid w:val="00903720"/>
    <w:rsid w:val="00910529"/>
    <w:rsid w:val="00913149"/>
    <w:rsid w:val="00926BDA"/>
    <w:rsid w:val="009335B7"/>
    <w:rsid w:val="00933860"/>
    <w:rsid w:val="00934105"/>
    <w:rsid w:val="0093595B"/>
    <w:rsid w:val="00947985"/>
    <w:rsid w:val="00950045"/>
    <w:rsid w:val="009504A9"/>
    <w:rsid w:val="009515DC"/>
    <w:rsid w:val="00951716"/>
    <w:rsid w:val="00964512"/>
    <w:rsid w:val="00971D1B"/>
    <w:rsid w:val="00977BDF"/>
    <w:rsid w:val="00985AD6"/>
    <w:rsid w:val="00991B75"/>
    <w:rsid w:val="009A0074"/>
    <w:rsid w:val="009A50F5"/>
    <w:rsid w:val="009B084D"/>
    <w:rsid w:val="009B12C4"/>
    <w:rsid w:val="009B2EA9"/>
    <w:rsid w:val="009B343F"/>
    <w:rsid w:val="009B6A1C"/>
    <w:rsid w:val="009D6D29"/>
    <w:rsid w:val="009E0DA9"/>
    <w:rsid w:val="009E5325"/>
    <w:rsid w:val="009E6F66"/>
    <w:rsid w:val="009E7ADB"/>
    <w:rsid w:val="009E7F65"/>
    <w:rsid w:val="009F1DEB"/>
    <w:rsid w:val="009F2084"/>
    <w:rsid w:val="009F2AA6"/>
    <w:rsid w:val="009F3688"/>
    <w:rsid w:val="009F3EC7"/>
    <w:rsid w:val="00A03F86"/>
    <w:rsid w:val="00A07779"/>
    <w:rsid w:val="00A14138"/>
    <w:rsid w:val="00A245DF"/>
    <w:rsid w:val="00A35815"/>
    <w:rsid w:val="00A41057"/>
    <w:rsid w:val="00A41E90"/>
    <w:rsid w:val="00A422FD"/>
    <w:rsid w:val="00A448C6"/>
    <w:rsid w:val="00A45720"/>
    <w:rsid w:val="00A50B85"/>
    <w:rsid w:val="00A52E07"/>
    <w:rsid w:val="00A52F2F"/>
    <w:rsid w:val="00A53ED2"/>
    <w:rsid w:val="00A55616"/>
    <w:rsid w:val="00A57994"/>
    <w:rsid w:val="00A60DB9"/>
    <w:rsid w:val="00A621C0"/>
    <w:rsid w:val="00A626DB"/>
    <w:rsid w:val="00A650B3"/>
    <w:rsid w:val="00A70426"/>
    <w:rsid w:val="00A71D30"/>
    <w:rsid w:val="00A863F6"/>
    <w:rsid w:val="00A8671D"/>
    <w:rsid w:val="00A86F53"/>
    <w:rsid w:val="00A8751D"/>
    <w:rsid w:val="00A920CD"/>
    <w:rsid w:val="00A92A09"/>
    <w:rsid w:val="00A96ACE"/>
    <w:rsid w:val="00AA57C2"/>
    <w:rsid w:val="00AB001D"/>
    <w:rsid w:val="00AB2648"/>
    <w:rsid w:val="00AC2D2C"/>
    <w:rsid w:val="00AD51A8"/>
    <w:rsid w:val="00AD78EC"/>
    <w:rsid w:val="00AE1948"/>
    <w:rsid w:val="00AE4286"/>
    <w:rsid w:val="00AE5C38"/>
    <w:rsid w:val="00AE6BDF"/>
    <w:rsid w:val="00AE6F0E"/>
    <w:rsid w:val="00AF385B"/>
    <w:rsid w:val="00AF3A2C"/>
    <w:rsid w:val="00AF59A3"/>
    <w:rsid w:val="00B01A9D"/>
    <w:rsid w:val="00B06565"/>
    <w:rsid w:val="00B06BDB"/>
    <w:rsid w:val="00B115AA"/>
    <w:rsid w:val="00B25F6E"/>
    <w:rsid w:val="00B530D1"/>
    <w:rsid w:val="00B5437C"/>
    <w:rsid w:val="00B560A7"/>
    <w:rsid w:val="00B61949"/>
    <w:rsid w:val="00B6533B"/>
    <w:rsid w:val="00B71BC7"/>
    <w:rsid w:val="00B92DFF"/>
    <w:rsid w:val="00B92E42"/>
    <w:rsid w:val="00B93DF2"/>
    <w:rsid w:val="00B950A1"/>
    <w:rsid w:val="00BA1315"/>
    <w:rsid w:val="00BB08BB"/>
    <w:rsid w:val="00BB4594"/>
    <w:rsid w:val="00BB5EDA"/>
    <w:rsid w:val="00BC337A"/>
    <w:rsid w:val="00BC423A"/>
    <w:rsid w:val="00BD25E0"/>
    <w:rsid w:val="00BE24EB"/>
    <w:rsid w:val="00BE509D"/>
    <w:rsid w:val="00BE6E38"/>
    <w:rsid w:val="00BE7883"/>
    <w:rsid w:val="00BF7A92"/>
    <w:rsid w:val="00C02AA9"/>
    <w:rsid w:val="00C03485"/>
    <w:rsid w:val="00C13CE0"/>
    <w:rsid w:val="00C2502D"/>
    <w:rsid w:val="00C2665C"/>
    <w:rsid w:val="00C27740"/>
    <w:rsid w:val="00C27F7B"/>
    <w:rsid w:val="00C3553B"/>
    <w:rsid w:val="00C418E5"/>
    <w:rsid w:val="00C41FAF"/>
    <w:rsid w:val="00C452BC"/>
    <w:rsid w:val="00C50002"/>
    <w:rsid w:val="00C526EA"/>
    <w:rsid w:val="00C54010"/>
    <w:rsid w:val="00C56423"/>
    <w:rsid w:val="00C638AA"/>
    <w:rsid w:val="00C67E04"/>
    <w:rsid w:val="00C74755"/>
    <w:rsid w:val="00C754DA"/>
    <w:rsid w:val="00C80D65"/>
    <w:rsid w:val="00C84095"/>
    <w:rsid w:val="00C878F7"/>
    <w:rsid w:val="00C94AD5"/>
    <w:rsid w:val="00CA6F02"/>
    <w:rsid w:val="00CB2800"/>
    <w:rsid w:val="00CB2D18"/>
    <w:rsid w:val="00CB3F45"/>
    <w:rsid w:val="00CB447C"/>
    <w:rsid w:val="00CC1EB6"/>
    <w:rsid w:val="00CC52B1"/>
    <w:rsid w:val="00CC53A7"/>
    <w:rsid w:val="00CD0651"/>
    <w:rsid w:val="00CD565D"/>
    <w:rsid w:val="00CD717E"/>
    <w:rsid w:val="00CE6F9B"/>
    <w:rsid w:val="00CE724D"/>
    <w:rsid w:val="00CE7E28"/>
    <w:rsid w:val="00CF1984"/>
    <w:rsid w:val="00D01906"/>
    <w:rsid w:val="00D033A5"/>
    <w:rsid w:val="00D06927"/>
    <w:rsid w:val="00D07BA3"/>
    <w:rsid w:val="00D105C5"/>
    <w:rsid w:val="00D16FD0"/>
    <w:rsid w:val="00D1724B"/>
    <w:rsid w:val="00D23AAE"/>
    <w:rsid w:val="00D24CCD"/>
    <w:rsid w:val="00D263C5"/>
    <w:rsid w:val="00D272E4"/>
    <w:rsid w:val="00D277CD"/>
    <w:rsid w:val="00D27E46"/>
    <w:rsid w:val="00D327B3"/>
    <w:rsid w:val="00D33B86"/>
    <w:rsid w:val="00D40C4E"/>
    <w:rsid w:val="00D40C75"/>
    <w:rsid w:val="00D41456"/>
    <w:rsid w:val="00D4493F"/>
    <w:rsid w:val="00D45DAE"/>
    <w:rsid w:val="00D53D78"/>
    <w:rsid w:val="00D61282"/>
    <w:rsid w:val="00D7007A"/>
    <w:rsid w:val="00D73610"/>
    <w:rsid w:val="00D738E3"/>
    <w:rsid w:val="00D75D31"/>
    <w:rsid w:val="00D9388B"/>
    <w:rsid w:val="00DA1A87"/>
    <w:rsid w:val="00DB2830"/>
    <w:rsid w:val="00DB2A5C"/>
    <w:rsid w:val="00DB37EB"/>
    <w:rsid w:val="00DB43BA"/>
    <w:rsid w:val="00DC326D"/>
    <w:rsid w:val="00DD3194"/>
    <w:rsid w:val="00DD54DB"/>
    <w:rsid w:val="00DD635E"/>
    <w:rsid w:val="00DE306F"/>
    <w:rsid w:val="00DE4770"/>
    <w:rsid w:val="00DF014A"/>
    <w:rsid w:val="00DF1DDA"/>
    <w:rsid w:val="00DF3DF7"/>
    <w:rsid w:val="00E00C76"/>
    <w:rsid w:val="00E01936"/>
    <w:rsid w:val="00E043F8"/>
    <w:rsid w:val="00E04FBE"/>
    <w:rsid w:val="00E15A50"/>
    <w:rsid w:val="00E17241"/>
    <w:rsid w:val="00E2065F"/>
    <w:rsid w:val="00E23DEC"/>
    <w:rsid w:val="00E27112"/>
    <w:rsid w:val="00E33AED"/>
    <w:rsid w:val="00E41F36"/>
    <w:rsid w:val="00E46DA0"/>
    <w:rsid w:val="00E506CE"/>
    <w:rsid w:val="00E53DEB"/>
    <w:rsid w:val="00E64FE0"/>
    <w:rsid w:val="00E67E9E"/>
    <w:rsid w:val="00E73407"/>
    <w:rsid w:val="00E763FD"/>
    <w:rsid w:val="00E802FA"/>
    <w:rsid w:val="00E82CAA"/>
    <w:rsid w:val="00E83A3E"/>
    <w:rsid w:val="00E85956"/>
    <w:rsid w:val="00E90656"/>
    <w:rsid w:val="00E90A66"/>
    <w:rsid w:val="00E974DD"/>
    <w:rsid w:val="00EA16E1"/>
    <w:rsid w:val="00EC09CF"/>
    <w:rsid w:val="00EC1042"/>
    <w:rsid w:val="00EC2E81"/>
    <w:rsid w:val="00EC5194"/>
    <w:rsid w:val="00ED2841"/>
    <w:rsid w:val="00ED590B"/>
    <w:rsid w:val="00ED61CF"/>
    <w:rsid w:val="00ED6575"/>
    <w:rsid w:val="00ED79BA"/>
    <w:rsid w:val="00EE51A8"/>
    <w:rsid w:val="00EF55C6"/>
    <w:rsid w:val="00F01395"/>
    <w:rsid w:val="00F024F2"/>
    <w:rsid w:val="00F04E6E"/>
    <w:rsid w:val="00F06EC0"/>
    <w:rsid w:val="00F135FE"/>
    <w:rsid w:val="00F16425"/>
    <w:rsid w:val="00F247E2"/>
    <w:rsid w:val="00F32BA4"/>
    <w:rsid w:val="00F34A6F"/>
    <w:rsid w:val="00F372CF"/>
    <w:rsid w:val="00F40F9D"/>
    <w:rsid w:val="00F4540E"/>
    <w:rsid w:val="00F51B1E"/>
    <w:rsid w:val="00F52BAA"/>
    <w:rsid w:val="00F565BE"/>
    <w:rsid w:val="00F70D6A"/>
    <w:rsid w:val="00F74272"/>
    <w:rsid w:val="00F850D1"/>
    <w:rsid w:val="00F921C7"/>
    <w:rsid w:val="00F9367E"/>
    <w:rsid w:val="00F943A3"/>
    <w:rsid w:val="00FA3038"/>
    <w:rsid w:val="00FA52F4"/>
    <w:rsid w:val="00FB030B"/>
    <w:rsid w:val="00FC032D"/>
    <w:rsid w:val="00FC6418"/>
    <w:rsid w:val="00FD1EA3"/>
    <w:rsid w:val="00FD6F9A"/>
    <w:rsid w:val="00FE2A7F"/>
    <w:rsid w:val="00FE2CF5"/>
    <w:rsid w:val="00FF22B0"/>
    <w:rsid w:val="00FF3927"/>
    <w:rsid w:val="00FF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5BBBED"/>
  <w15:docId w15:val="{0CE45F93-942F-4BB3-81DD-DB695A46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paragraph" w:styleId="Listenabsatz">
    <w:name w:val="List Paragraph"/>
    <w:basedOn w:val="Standard"/>
    <w:uiPriority w:val="34"/>
    <w:qFormat/>
    <w:rsid w:val="00F06EC0"/>
    <w:pPr>
      <w:spacing w:line="240" w:lineRule="auto"/>
      <w:ind w:left="720"/>
      <w:contextualSpacing/>
    </w:pPr>
    <w:rPr>
      <w:rFonts w:eastAsiaTheme="minorHAnsi" w:cstheme="minorBidi"/>
      <w:sz w:val="24"/>
      <w:szCs w:val="22"/>
      <w:lang w:eastAsia="en-US"/>
    </w:rPr>
  </w:style>
  <w:style w:type="character" w:styleId="Kommentarzeichen">
    <w:name w:val="annotation reference"/>
    <w:basedOn w:val="Absatz-Standardschriftart"/>
    <w:uiPriority w:val="99"/>
    <w:rsid w:val="009B343F"/>
    <w:rPr>
      <w:sz w:val="16"/>
      <w:szCs w:val="16"/>
    </w:rPr>
  </w:style>
  <w:style w:type="paragraph" w:styleId="Kommentartext">
    <w:name w:val="annotation text"/>
    <w:basedOn w:val="Standard"/>
    <w:link w:val="KommentartextZchn"/>
    <w:rsid w:val="009B343F"/>
    <w:pPr>
      <w:spacing w:line="240" w:lineRule="auto"/>
    </w:pPr>
    <w:rPr>
      <w:sz w:val="20"/>
      <w:szCs w:val="20"/>
    </w:rPr>
  </w:style>
  <w:style w:type="character" w:customStyle="1" w:styleId="KommentartextZchn">
    <w:name w:val="Kommentartext Zchn"/>
    <w:basedOn w:val="Absatz-Standardschriftart"/>
    <w:link w:val="Kommentartext"/>
    <w:rsid w:val="009B343F"/>
    <w:rPr>
      <w:rFonts w:ascii="Arial" w:hAnsi="Arial"/>
    </w:rPr>
  </w:style>
  <w:style w:type="paragraph" w:styleId="Kommentarthema">
    <w:name w:val="annotation subject"/>
    <w:basedOn w:val="Kommentartext"/>
    <w:next w:val="Kommentartext"/>
    <w:link w:val="KommentarthemaZchn"/>
    <w:rsid w:val="009B343F"/>
    <w:rPr>
      <w:b/>
      <w:bCs/>
    </w:rPr>
  </w:style>
  <w:style w:type="character" w:customStyle="1" w:styleId="KommentarthemaZchn">
    <w:name w:val="Kommentarthema Zchn"/>
    <w:basedOn w:val="KommentartextZchn"/>
    <w:link w:val="Kommentarthema"/>
    <w:rsid w:val="009B343F"/>
    <w:rPr>
      <w:rFonts w:ascii="Arial" w:hAnsi="Arial"/>
      <w:b/>
      <w:bCs/>
    </w:rPr>
  </w:style>
  <w:style w:type="paragraph" w:styleId="StandardWeb">
    <w:name w:val="Normal (Web)"/>
    <w:basedOn w:val="Standard"/>
    <w:uiPriority w:val="99"/>
    <w:semiHidden/>
    <w:unhideWhenUsed/>
    <w:rsid w:val="0041272B"/>
    <w:pPr>
      <w:spacing w:before="100" w:beforeAutospacing="1" w:after="100" w:afterAutospacing="1" w:line="240" w:lineRule="auto"/>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E506CE"/>
    <w:rPr>
      <w:color w:val="808080"/>
      <w:shd w:val="clear" w:color="auto" w:fill="E6E6E6"/>
    </w:rPr>
  </w:style>
  <w:style w:type="paragraph" w:styleId="Textkrper">
    <w:name w:val="Body Text"/>
    <w:basedOn w:val="Standard"/>
    <w:link w:val="TextkrperZchn"/>
    <w:semiHidden/>
    <w:unhideWhenUsed/>
    <w:rsid w:val="00222C1D"/>
    <w:pPr>
      <w:spacing w:after="120"/>
    </w:pPr>
  </w:style>
  <w:style w:type="character" w:customStyle="1" w:styleId="TextkrperZchn">
    <w:name w:val="Textkörper Zchn"/>
    <w:basedOn w:val="Absatz-Standardschriftart"/>
    <w:link w:val="Textkrper"/>
    <w:semiHidden/>
    <w:rsid w:val="00222C1D"/>
    <w:rPr>
      <w:rFonts w:ascii="Arial" w:hAnsi="Arial"/>
      <w:sz w:val="22"/>
      <w:szCs w:val="24"/>
    </w:rPr>
  </w:style>
  <w:style w:type="paragraph" w:customStyle="1" w:styleId="Default">
    <w:name w:val="Default"/>
    <w:rsid w:val="00D06927"/>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6293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586">
      <w:bodyDiv w:val="1"/>
      <w:marLeft w:val="0"/>
      <w:marRight w:val="0"/>
      <w:marTop w:val="0"/>
      <w:marBottom w:val="0"/>
      <w:divBdr>
        <w:top w:val="none" w:sz="0" w:space="0" w:color="auto"/>
        <w:left w:val="none" w:sz="0" w:space="0" w:color="auto"/>
        <w:bottom w:val="none" w:sz="0" w:space="0" w:color="auto"/>
        <w:right w:val="none" w:sz="0" w:space="0" w:color="auto"/>
      </w:divBdr>
      <w:divsChild>
        <w:div w:id="814878583">
          <w:marLeft w:val="0"/>
          <w:marRight w:val="0"/>
          <w:marTop w:val="0"/>
          <w:marBottom w:val="120"/>
          <w:divBdr>
            <w:top w:val="none" w:sz="0" w:space="0" w:color="auto"/>
            <w:left w:val="none" w:sz="0" w:space="0" w:color="auto"/>
            <w:bottom w:val="none" w:sz="0" w:space="0" w:color="auto"/>
            <w:right w:val="none" w:sz="0" w:space="0" w:color="auto"/>
          </w:divBdr>
        </w:div>
        <w:div w:id="208540459">
          <w:marLeft w:val="288"/>
          <w:marRight w:val="0"/>
          <w:marTop w:val="0"/>
          <w:marBottom w:val="120"/>
          <w:divBdr>
            <w:top w:val="none" w:sz="0" w:space="0" w:color="auto"/>
            <w:left w:val="none" w:sz="0" w:space="0" w:color="auto"/>
            <w:bottom w:val="none" w:sz="0" w:space="0" w:color="auto"/>
            <w:right w:val="none" w:sz="0" w:space="0" w:color="auto"/>
          </w:divBdr>
        </w:div>
        <w:div w:id="1838576595">
          <w:marLeft w:val="288"/>
          <w:marRight w:val="0"/>
          <w:marTop w:val="0"/>
          <w:marBottom w:val="120"/>
          <w:divBdr>
            <w:top w:val="none" w:sz="0" w:space="0" w:color="auto"/>
            <w:left w:val="none" w:sz="0" w:space="0" w:color="auto"/>
            <w:bottom w:val="none" w:sz="0" w:space="0" w:color="auto"/>
            <w:right w:val="none" w:sz="0" w:space="0" w:color="auto"/>
          </w:divBdr>
        </w:div>
        <w:div w:id="1592934027">
          <w:marLeft w:val="288"/>
          <w:marRight w:val="0"/>
          <w:marTop w:val="0"/>
          <w:marBottom w:val="120"/>
          <w:divBdr>
            <w:top w:val="none" w:sz="0" w:space="0" w:color="auto"/>
            <w:left w:val="none" w:sz="0" w:space="0" w:color="auto"/>
            <w:bottom w:val="none" w:sz="0" w:space="0" w:color="auto"/>
            <w:right w:val="none" w:sz="0" w:space="0" w:color="auto"/>
          </w:divBdr>
        </w:div>
        <w:div w:id="1909221603">
          <w:marLeft w:val="288"/>
          <w:marRight w:val="0"/>
          <w:marTop w:val="0"/>
          <w:marBottom w:val="120"/>
          <w:divBdr>
            <w:top w:val="none" w:sz="0" w:space="0" w:color="auto"/>
            <w:left w:val="none" w:sz="0" w:space="0" w:color="auto"/>
            <w:bottom w:val="none" w:sz="0" w:space="0" w:color="auto"/>
            <w:right w:val="none" w:sz="0" w:space="0" w:color="auto"/>
          </w:divBdr>
        </w:div>
      </w:divsChild>
    </w:div>
    <w:div w:id="230888258">
      <w:bodyDiv w:val="1"/>
      <w:marLeft w:val="0"/>
      <w:marRight w:val="0"/>
      <w:marTop w:val="0"/>
      <w:marBottom w:val="0"/>
      <w:divBdr>
        <w:top w:val="none" w:sz="0" w:space="0" w:color="auto"/>
        <w:left w:val="none" w:sz="0" w:space="0" w:color="auto"/>
        <w:bottom w:val="none" w:sz="0" w:space="0" w:color="auto"/>
        <w:right w:val="none" w:sz="0" w:space="0" w:color="auto"/>
      </w:divBdr>
    </w:div>
    <w:div w:id="414983077">
      <w:bodyDiv w:val="1"/>
      <w:marLeft w:val="0"/>
      <w:marRight w:val="0"/>
      <w:marTop w:val="0"/>
      <w:marBottom w:val="0"/>
      <w:divBdr>
        <w:top w:val="none" w:sz="0" w:space="0" w:color="auto"/>
        <w:left w:val="none" w:sz="0" w:space="0" w:color="auto"/>
        <w:bottom w:val="none" w:sz="0" w:space="0" w:color="auto"/>
        <w:right w:val="none" w:sz="0" w:space="0" w:color="auto"/>
      </w:divBdr>
      <w:divsChild>
        <w:div w:id="1307856284">
          <w:marLeft w:val="547"/>
          <w:marRight w:val="0"/>
          <w:marTop w:val="77"/>
          <w:marBottom w:val="0"/>
          <w:divBdr>
            <w:top w:val="none" w:sz="0" w:space="0" w:color="auto"/>
            <w:left w:val="none" w:sz="0" w:space="0" w:color="auto"/>
            <w:bottom w:val="none" w:sz="0" w:space="0" w:color="auto"/>
            <w:right w:val="none" w:sz="0" w:space="0" w:color="auto"/>
          </w:divBdr>
        </w:div>
        <w:div w:id="248928249">
          <w:marLeft w:val="547"/>
          <w:marRight w:val="0"/>
          <w:marTop w:val="77"/>
          <w:marBottom w:val="0"/>
          <w:divBdr>
            <w:top w:val="none" w:sz="0" w:space="0" w:color="auto"/>
            <w:left w:val="none" w:sz="0" w:space="0" w:color="auto"/>
            <w:bottom w:val="none" w:sz="0" w:space="0" w:color="auto"/>
            <w:right w:val="none" w:sz="0" w:space="0" w:color="auto"/>
          </w:divBdr>
        </w:div>
      </w:divsChild>
    </w:div>
    <w:div w:id="618882065">
      <w:bodyDiv w:val="1"/>
      <w:marLeft w:val="0"/>
      <w:marRight w:val="0"/>
      <w:marTop w:val="0"/>
      <w:marBottom w:val="0"/>
      <w:divBdr>
        <w:top w:val="none" w:sz="0" w:space="0" w:color="auto"/>
        <w:left w:val="none" w:sz="0" w:space="0" w:color="auto"/>
        <w:bottom w:val="none" w:sz="0" w:space="0" w:color="auto"/>
        <w:right w:val="none" w:sz="0" w:space="0" w:color="auto"/>
      </w:divBdr>
    </w:div>
    <w:div w:id="695348520">
      <w:bodyDiv w:val="1"/>
      <w:marLeft w:val="0"/>
      <w:marRight w:val="0"/>
      <w:marTop w:val="0"/>
      <w:marBottom w:val="0"/>
      <w:divBdr>
        <w:top w:val="none" w:sz="0" w:space="0" w:color="auto"/>
        <w:left w:val="none" w:sz="0" w:space="0" w:color="auto"/>
        <w:bottom w:val="none" w:sz="0" w:space="0" w:color="auto"/>
        <w:right w:val="none" w:sz="0" w:space="0" w:color="auto"/>
      </w:divBdr>
    </w:div>
    <w:div w:id="716517173">
      <w:bodyDiv w:val="1"/>
      <w:marLeft w:val="0"/>
      <w:marRight w:val="0"/>
      <w:marTop w:val="0"/>
      <w:marBottom w:val="0"/>
      <w:divBdr>
        <w:top w:val="none" w:sz="0" w:space="0" w:color="auto"/>
        <w:left w:val="none" w:sz="0" w:space="0" w:color="auto"/>
        <w:bottom w:val="none" w:sz="0" w:space="0" w:color="auto"/>
        <w:right w:val="none" w:sz="0" w:space="0" w:color="auto"/>
      </w:divBdr>
    </w:div>
    <w:div w:id="746418935">
      <w:bodyDiv w:val="1"/>
      <w:marLeft w:val="0"/>
      <w:marRight w:val="0"/>
      <w:marTop w:val="0"/>
      <w:marBottom w:val="0"/>
      <w:divBdr>
        <w:top w:val="none" w:sz="0" w:space="0" w:color="auto"/>
        <w:left w:val="none" w:sz="0" w:space="0" w:color="auto"/>
        <w:bottom w:val="none" w:sz="0" w:space="0" w:color="auto"/>
        <w:right w:val="none" w:sz="0" w:space="0" w:color="auto"/>
      </w:divBdr>
    </w:div>
    <w:div w:id="790247950">
      <w:bodyDiv w:val="1"/>
      <w:marLeft w:val="0"/>
      <w:marRight w:val="0"/>
      <w:marTop w:val="0"/>
      <w:marBottom w:val="0"/>
      <w:divBdr>
        <w:top w:val="none" w:sz="0" w:space="0" w:color="auto"/>
        <w:left w:val="none" w:sz="0" w:space="0" w:color="auto"/>
        <w:bottom w:val="none" w:sz="0" w:space="0" w:color="auto"/>
        <w:right w:val="none" w:sz="0" w:space="0" w:color="auto"/>
      </w:divBdr>
    </w:div>
    <w:div w:id="913003503">
      <w:bodyDiv w:val="1"/>
      <w:marLeft w:val="0"/>
      <w:marRight w:val="0"/>
      <w:marTop w:val="0"/>
      <w:marBottom w:val="0"/>
      <w:divBdr>
        <w:top w:val="none" w:sz="0" w:space="0" w:color="auto"/>
        <w:left w:val="none" w:sz="0" w:space="0" w:color="auto"/>
        <w:bottom w:val="none" w:sz="0" w:space="0" w:color="auto"/>
        <w:right w:val="none" w:sz="0" w:space="0" w:color="auto"/>
      </w:divBdr>
    </w:div>
    <w:div w:id="1074669430">
      <w:bodyDiv w:val="1"/>
      <w:marLeft w:val="0"/>
      <w:marRight w:val="0"/>
      <w:marTop w:val="0"/>
      <w:marBottom w:val="0"/>
      <w:divBdr>
        <w:top w:val="none" w:sz="0" w:space="0" w:color="auto"/>
        <w:left w:val="none" w:sz="0" w:space="0" w:color="auto"/>
        <w:bottom w:val="none" w:sz="0" w:space="0" w:color="auto"/>
        <w:right w:val="none" w:sz="0" w:space="0" w:color="auto"/>
      </w:divBdr>
    </w:div>
    <w:div w:id="1611813048">
      <w:bodyDiv w:val="1"/>
      <w:marLeft w:val="0"/>
      <w:marRight w:val="0"/>
      <w:marTop w:val="0"/>
      <w:marBottom w:val="0"/>
      <w:divBdr>
        <w:top w:val="none" w:sz="0" w:space="0" w:color="auto"/>
        <w:left w:val="none" w:sz="0" w:space="0" w:color="auto"/>
        <w:bottom w:val="none" w:sz="0" w:space="0" w:color="auto"/>
        <w:right w:val="none" w:sz="0" w:space="0" w:color="auto"/>
      </w:divBdr>
    </w:div>
    <w:div w:id="1615091737">
      <w:bodyDiv w:val="1"/>
      <w:marLeft w:val="0"/>
      <w:marRight w:val="0"/>
      <w:marTop w:val="0"/>
      <w:marBottom w:val="0"/>
      <w:divBdr>
        <w:top w:val="none" w:sz="0" w:space="0" w:color="auto"/>
        <w:left w:val="none" w:sz="0" w:space="0" w:color="auto"/>
        <w:bottom w:val="none" w:sz="0" w:space="0" w:color="auto"/>
        <w:right w:val="none" w:sz="0" w:space="0" w:color="auto"/>
      </w:divBdr>
    </w:div>
    <w:div w:id="1629503753">
      <w:bodyDiv w:val="1"/>
      <w:marLeft w:val="0"/>
      <w:marRight w:val="0"/>
      <w:marTop w:val="0"/>
      <w:marBottom w:val="0"/>
      <w:divBdr>
        <w:top w:val="none" w:sz="0" w:space="0" w:color="auto"/>
        <w:left w:val="none" w:sz="0" w:space="0" w:color="auto"/>
        <w:bottom w:val="none" w:sz="0" w:space="0" w:color="auto"/>
        <w:right w:val="none" w:sz="0" w:space="0" w:color="auto"/>
      </w:divBdr>
    </w:div>
    <w:div w:id="1982952925">
      <w:bodyDiv w:val="1"/>
      <w:marLeft w:val="0"/>
      <w:marRight w:val="0"/>
      <w:marTop w:val="0"/>
      <w:marBottom w:val="0"/>
      <w:divBdr>
        <w:top w:val="none" w:sz="0" w:space="0" w:color="auto"/>
        <w:left w:val="none" w:sz="0" w:space="0" w:color="auto"/>
        <w:bottom w:val="none" w:sz="0" w:space="0" w:color="auto"/>
        <w:right w:val="none" w:sz="0" w:space="0" w:color="auto"/>
      </w:divBdr>
    </w:div>
    <w:div w:id="2068841681">
      <w:bodyDiv w:val="1"/>
      <w:marLeft w:val="0"/>
      <w:marRight w:val="0"/>
      <w:marTop w:val="0"/>
      <w:marBottom w:val="0"/>
      <w:divBdr>
        <w:top w:val="none" w:sz="0" w:space="0" w:color="auto"/>
        <w:left w:val="none" w:sz="0" w:space="0" w:color="auto"/>
        <w:bottom w:val="none" w:sz="0" w:space="0" w:color="auto"/>
        <w:right w:val="none" w:sz="0" w:space="0" w:color="auto"/>
      </w:divBdr>
      <w:divsChild>
        <w:div w:id="1027410731">
          <w:marLeft w:val="0"/>
          <w:marRight w:val="0"/>
          <w:marTop w:val="0"/>
          <w:marBottom w:val="120"/>
          <w:divBdr>
            <w:top w:val="none" w:sz="0" w:space="0" w:color="auto"/>
            <w:left w:val="none" w:sz="0" w:space="0" w:color="auto"/>
            <w:bottom w:val="none" w:sz="0" w:space="0" w:color="auto"/>
            <w:right w:val="none" w:sz="0" w:space="0" w:color="auto"/>
          </w:divBdr>
        </w:div>
        <w:div w:id="1362128496">
          <w:marLeft w:val="288"/>
          <w:marRight w:val="0"/>
          <w:marTop w:val="0"/>
          <w:marBottom w:val="120"/>
          <w:divBdr>
            <w:top w:val="none" w:sz="0" w:space="0" w:color="auto"/>
            <w:left w:val="none" w:sz="0" w:space="0" w:color="auto"/>
            <w:bottom w:val="none" w:sz="0" w:space="0" w:color="auto"/>
            <w:right w:val="none" w:sz="0" w:space="0" w:color="auto"/>
          </w:divBdr>
        </w:div>
        <w:div w:id="354355582">
          <w:marLeft w:val="288"/>
          <w:marRight w:val="0"/>
          <w:marTop w:val="0"/>
          <w:marBottom w:val="120"/>
          <w:divBdr>
            <w:top w:val="none" w:sz="0" w:space="0" w:color="auto"/>
            <w:left w:val="none" w:sz="0" w:space="0" w:color="auto"/>
            <w:bottom w:val="none" w:sz="0" w:space="0" w:color="auto"/>
            <w:right w:val="none" w:sz="0" w:space="0" w:color="auto"/>
          </w:divBdr>
        </w:div>
        <w:div w:id="1168129765">
          <w:marLeft w:val="288"/>
          <w:marRight w:val="0"/>
          <w:marTop w:val="0"/>
          <w:marBottom w:val="120"/>
          <w:divBdr>
            <w:top w:val="none" w:sz="0" w:space="0" w:color="auto"/>
            <w:left w:val="none" w:sz="0" w:space="0" w:color="auto"/>
            <w:bottom w:val="none" w:sz="0" w:space="0" w:color="auto"/>
            <w:right w:val="none" w:sz="0" w:space="0" w:color="auto"/>
          </w:divBdr>
        </w:div>
        <w:div w:id="1157186378">
          <w:marLeft w:val="288"/>
          <w:marRight w:val="0"/>
          <w:marTop w:val="0"/>
          <w:marBottom w:val="120"/>
          <w:divBdr>
            <w:top w:val="none" w:sz="0" w:space="0" w:color="auto"/>
            <w:left w:val="none" w:sz="0" w:space="0" w:color="auto"/>
            <w:bottom w:val="none" w:sz="0" w:space="0" w:color="auto"/>
            <w:right w:val="none" w:sz="0" w:space="0" w:color="auto"/>
          </w:divBdr>
        </w:div>
      </w:divsChild>
    </w:div>
    <w:div w:id="21036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velux.de/pre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elux.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F8E3E25F6B141A4C864390DBED149" ma:contentTypeVersion="11" ma:contentTypeDescription="Create a new document." ma:contentTypeScope="" ma:versionID="7cd7450a161da7746afad68fd1739575">
  <xsd:schema xmlns:xsd="http://www.w3.org/2001/XMLSchema" xmlns:xs="http://www.w3.org/2001/XMLSchema" xmlns:p="http://schemas.microsoft.com/office/2006/metadata/properties" xmlns:ns3="c71586a2-e597-426a-aeb0-16185875e3fc" xmlns:ns4="d65dde97-df02-49f6-8361-3dade0fd674e" targetNamespace="http://schemas.microsoft.com/office/2006/metadata/properties" ma:root="true" ma:fieldsID="f47a4b73196324406017bfbdbf40098a" ns3:_="" ns4:_="">
    <xsd:import namespace="c71586a2-e597-426a-aeb0-16185875e3fc"/>
    <xsd:import namespace="d65dde97-df02-49f6-8361-3dade0fd67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586a2-e597-426a-aeb0-16185875e3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dde97-df02-49f6-8361-3dade0fd67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FDD3-C4DA-4430-B790-E0C831975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AFD05-6727-49C5-BCA9-A6AAB7229515}">
  <ds:schemaRefs>
    <ds:schemaRef ds:uri="http://schemas.microsoft.com/sharepoint/v3/contenttype/forms"/>
  </ds:schemaRefs>
</ds:datastoreItem>
</file>

<file path=customXml/itemProps3.xml><?xml version="1.0" encoding="utf-8"?>
<ds:datastoreItem xmlns:ds="http://schemas.openxmlformats.org/officeDocument/2006/customXml" ds:itemID="{EF3C9B85-11E4-4220-BF8A-CE95AEE1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586a2-e597-426a-aeb0-16185875e3fc"/>
    <ds:schemaRef ds:uri="d65dde97-df02-49f6-8361-3dade0fd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6DE2B-5AC0-461E-AAFE-9E22B25F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7211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Velux Pressemitteilung</vt:lpstr>
    </vt:vector>
  </TitlesOfParts>
  <Company>Faktor3 AG</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Pressemitteilung</dc:title>
  <dc:creator>Maik Seete</dc:creator>
  <cp:lastModifiedBy>O.Williges</cp:lastModifiedBy>
  <cp:revision>6</cp:revision>
  <cp:lastPrinted>2019-01-10T10:36:00Z</cp:lastPrinted>
  <dcterms:created xsi:type="dcterms:W3CDTF">2020-01-16T15:45:00Z</dcterms:created>
  <dcterms:modified xsi:type="dcterms:W3CDTF">2020-01-27T10:57:00Z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0x010100830F8E3E25F6B141A4C864390DBED149</vt:lpwstr>
  </property>
</Properties>
</file>